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部门决算公开文本</w:t>
      </w: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32"/>
          <w:szCs w:val="32"/>
          <w14:textFill>
            <w14:solidFill>
              <w14:schemeClr w14:val="tx1"/>
            </w14:solidFill>
          </w14:textFill>
        </w:rPr>
      </w:pPr>
      <w:r>
        <w:rPr>
          <w:rFonts w:hint="eastAsia" w:hAnsi="宋体" w:asciiTheme="minorEastAsia" w:eastAsiaTheme="minorEastAsia"/>
          <w:color w:val="000000" w:themeColor="text1"/>
          <w:sz w:val="32"/>
          <w:szCs w:val="32"/>
          <w14:textFill>
            <w14:solidFill>
              <w14:schemeClr w14:val="tx1"/>
            </w14:solidFill>
          </w14:textFill>
        </w:rPr>
        <w:t>二〇二〇年十一月</w:t>
      </w: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color w:val="000000" w:themeColor="text1"/>
          <w:sz w:val="72"/>
          <w:szCs w:val="72"/>
          <w14:textFill>
            <w14:solidFill>
              <w14:schemeClr w14:val="tx1"/>
            </w14:solidFill>
          </w14:textFill>
        </w:rPr>
      </w:pPr>
      <w:r>
        <w:rPr>
          <w:sz w:val="72"/>
          <w:szCs w:val="72"/>
        </w:rPr>
        <w:t>201</w:t>
      </w:r>
      <w:r>
        <w:rPr>
          <w:rFonts w:hint="eastAsia"/>
          <w:sz w:val="72"/>
          <w:szCs w:val="72"/>
        </w:rPr>
        <w:t>9</w:t>
      </w:r>
      <w:r>
        <w:rPr>
          <w:sz w:val="72"/>
          <w:szCs w:val="72"/>
        </w:rPr>
        <w:t>年度部门决算公开文本</w:t>
      </w:r>
    </w:p>
    <w:p>
      <w:pPr>
        <w:widowControl/>
        <w:jc w:val="center"/>
        <w:rPr>
          <w:rFonts w:hAnsi="宋体" w:asciiTheme="minorEastAsia" w:eastAsiaTheme="minorEastAsia"/>
          <w:color w:val="002060"/>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rPr>
          <w:rFonts w:asciiTheme="minorEastAsia" w:hAnsiTheme="minorEastAsia" w:eastAsiaTheme="minorEastAsia"/>
          <w:b/>
          <w:sz w:val="72"/>
          <w:szCs w:val="72"/>
        </w:rPr>
      </w:pPr>
    </w:p>
    <w:p>
      <w:pPr>
        <w:widowControl/>
        <w:ind w:firstLine="442" w:firstLineChars="100"/>
        <w:jc w:val="center"/>
        <w:rPr>
          <w:b/>
          <w:sz w:val="44"/>
          <w:szCs w:val="44"/>
        </w:rPr>
      </w:pPr>
      <w:r>
        <w:rPr>
          <w:b/>
          <w:sz w:val="44"/>
          <w:szCs w:val="44"/>
        </w:rPr>
        <w:t>廊坊市</w:t>
      </w:r>
      <w:r>
        <w:rPr>
          <w:rFonts w:hint="eastAsia"/>
          <w:b/>
          <w:sz w:val="44"/>
          <w:szCs w:val="44"/>
        </w:rPr>
        <w:t>大厂回族自治县北辰街道办事处</w:t>
      </w:r>
    </w:p>
    <w:p>
      <w:pPr>
        <w:widowControl/>
        <w:jc w:val="center"/>
        <w:rPr>
          <w:b/>
          <w:sz w:val="44"/>
          <w:szCs w:val="44"/>
        </w:rPr>
        <w:sectPr>
          <w:pgSz w:w="11906" w:h="16838"/>
          <w:pgMar w:top="2098" w:right="1474" w:bottom="1985" w:left="1588" w:header="851" w:footer="992" w:gutter="0"/>
          <w:cols w:space="425" w:num="1"/>
          <w:docGrid w:type="lines" w:linePitch="312" w:charSpace="0"/>
        </w:sectPr>
      </w:pPr>
      <w:r>
        <w:rPr>
          <w:b/>
          <w:sz w:val="44"/>
          <w:szCs w:val="44"/>
        </w:rPr>
        <w:t>二〇二〇年</w:t>
      </w:r>
      <w:r>
        <w:rPr>
          <w:rFonts w:hint="eastAsia"/>
          <w:b/>
          <w:sz w:val="44"/>
          <w:szCs w:val="44"/>
        </w:rPr>
        <w:t>十一月</w:t>
      </w:r>
    </w:p>
    <w:p>
      <w:pPr>
        <w:spacing w:beforeLines="200" w:after="0" w:line="1000" w:lineRule="exact"/>
        <w:jc w:val="center"/>
        <w:rPr>
          <w:rFonts w:ascii="黑体" w:eastAsia="黑体"/>
          <w:sz w:val="48"/>
          <w:szCs w:val="48"/>
        </w:rPr>
      </w:pPr>
      <w:r>
        <w:rPr>
          <w:rFonts w:hint="eastAsia" w:ascii="黑体" w:eastAsia="黑体"/>
          <w:sz w:val="48"/>
          <w:szCs w:val="48"/>
        </w:rPr>
        <w:t>目    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eastAsia="黑体"/>
          <w:sz w:val="32"/>
          <w:szCs w:val="32"/>
        </w:rPr>
        <w:t>第一部分</w:t>
      </w:r>
      <w:r>
        <w:rPr>
          <w:rFonts w:hint="eastAsia" w:eastAsia="黑体"/>
          <w:sz w:val="32"/>
          <w:szCs w:val="32"/>
        </w:rPr>
        <w:t xml:space="preserve">   </w:t>
      </w:r>
      <w:r>
        <w:rPr>
          <w:rFonts w:hint="eastAsia" w:ascii="黑体" w:hAnsi="黑体" w:eastAsia="黑体"/>
          <w:sz w:val="32"/>
          <w:szCs w:val="32"/>
        </w:rPr>
        <w:t>大厂回族自治县北辰街道办事处</w:t>
      </w:r>
      <w:r>
        <w:rPr>
          <w:rFonts w:eastAsia="黑体"/>
          <w:sz w:val="32"/>
          <w:szCs w:val="32"/>
        </w:rPr>
        <w:t>部门概况</w:t>
      </w:r>
    </w:p>
    <w:p>
      <w:pPr>
        <w:widowControl/>
        <w:spacing w:line="580" w:lineRule="exact"/>
        <w:ind w:firstLine="1273" w:firstLineChars="398"/>
        <w:rPr>
          <w:rFonts w:eastAsia="仿宋_GB2312"/>
          <w:sz w:val="32"/>
          <w:szCs w:val="32"/>
        </w:rPr>
      </w:pPr>
      <w:r>
        <w:rPr>
          <w:rFonts w:eastAsia="仿宋_GB2312"/>
          <w:sz w:val="32"/>
          <w:szCs w:val="32"/>
        </w:rPr>
        <w:t>一、部门</w:t>
      </w:r>
      <w:r>
        <w:rPr>
          <w:rFonts w:hint="eastAsia" w:eastAsia="仿宋_GB2312"/>
          <w:sz w:val="32"/>
          <w:szCs w:val="32"/>
        </w:rPr>
        <w:t>职责</w:t>
      </w:r>
    </w:p>
    <w:p>
      <w:pPr>
        <w:widowControl/>
        <w:spacing w:line="580" w:lineRule="exact"/>
        <w:ind w:firstLine="1273" w:firstLineChars="398"/>
        <w:rPr>
          <w:rFonts w:eastAsia="仿宋_GB2312"/>
          <w:sz w:val="32"/>
          <w:szCs w:val="32"/>
        </w:rPr>
      </w:pPr>
      <w:r>
        <w:rPr>
          <w:rFonts w:eastAsia="仿宋_GB2312"/>
          <w:sz w:val="32"/>
          <w:szCs w:val="32"/>
        </w:rPr>
        <w:t>二、</w:t>
      </w:r>
      <w:r>
        <w:rPr>
          <w:rFonts w:hint="eastAsia" w:eastAsia="仿宋_GB2312"/>
          <w:sz w:val="32"/>
          <w:szCs w:val="32"/>
        </w:rPr>
        <w:t>机构设置</w:t>
      </w:r>
    </w:p>
    <w:p>
      <w:pPr>
        <w:widowControl/>
        <w:spacing w:line="584"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第二部分   201</w:t>
      </w:r>
      <w:r>
        <w:rPr>
          <w:rFonts w:hint="eastAsia" w:eastAsia="黑体"/>
          <w:color w:val="000000" w:themeColor="text1"/>
          <w:sz w:val="32"/>
          <w:szCs w:val="32"/>
          <w14:textFill>
            <w14:solidFill>
              <w14:schemeClr w14:val="tx1"/>
            </w14:solidFill>
          </w14:textFill>
        </w:rPr>
        <w:t>9年度</w:t>
      </w:r>
      <w:r>
        <w:rPr>
          <w:rFonts w:eastAsia="黑体"/>
          <w:color w:val="000000" w:themeColor="text1"/>
          <w:sz w:val="32"/>
          <w:szCs w:val="32"/>
          <w14:textFill>
            <w14:solidFill>
              <w14:schemeClr w14:val="tx1"/>
            </w14:solidFill>
          </w14:textFill>
        </w:rPr>
        <w:t>部门决算情况说明</w:t>
      </w:r>
    </w:p>
    <w:p>
      <w:pPr>
        <w:widowControl/>
        <w:spacing w:line="584" w:lineRule="exact"/>
        <w:ind w:left="640"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一、收入支出决算总体情况说明</w:t>
      </w:r>
    </w:p>
    <w:p>
      <w:pPr>
        <w:widowControl/>
        <w:spacing w:line="584" w:lineRule="exact"/>
        <w:ind w:left="640"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二、收入决算情况说明</w:t>
      </w:r>
    </w:p>
    <w:p>
      <w:pPr>
        <w:widowControl/>
        <w:spacing w:line="584" w:lineRule="exact"/>
        <w:ind w:left="640"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三、支出决算情况说明</w:t>
      </w:r>
    </w:p>
    <w:p>
      <w:pPr>
        <w:widowControl/>
        <w:spacing w:line="584" w:lineRule="exact"/>
        <w:ind w:left="640" w:firstLine="640" w:firstLineChars="200"/>
        <w:rPr>
          <w:rFonts w:eastAsia="仿宋_GB2312"/>
          <w:color w:val="000000" w:themeColor="text1"/>
          <w:sz w:val="32"/>
          <w:szCs w:val="32"/>
          <w14:textFill>
            <w14:solidFill>
              <w14:schemeClr w14:val="tx1"/>
            </w14:solidFill>
          </w14:textFill>
        </w:rPr>
      </w:pPr>
      <w:r>
        <w:rPr>
          <w:rFonts w:eastAsia="仿宋_GB2312"/>
          <w:color w:val="000000" w:themeColor="text1"/>
          <w:sz w:val="32"/>
          <w:szCs w:val="32"/>
          <w14:textFill>
            <w14:solidFill>
              <w14:schemeClr w14:val="tx1"/>
            </w14:solidFill>
          </w14:textFill>
        </w:rPr>
        <w:t>四、财政拨款收入支出决算总体情况说明</w:t>
      </w:r>
    </w:p>
    <w:p>
      <w:pPr>
        <w:widowControl/>
        <w:spacing w:line="584" w:lineRule="exact"/>
        <w:ind w:left="640"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五、一般公共预算</w:t>
      </w:r>
      <w:r>
        <w:rPr>
          <w:rFonts w:eastAsia="仿宋_GB2312"/>
          <w:color w:val="000000" w:themeColor="text1"/>
          <w:sz w:val="32"/>
          <w:szCs w:val="32"/>
          <w14:textFill>
            <w14:solidFill>
              <w14:schemeClr w14:val="tx1"/>
            </w14:solidFill>
          </w14:textFill>
        </w:rPr>
        <w:t>“三公”经费支出决算情况说明</w:t>
      </w:r>
    </w:p>
    <w:p>
      <w:pPr>
        <w:widowControl/>
        <w:spacing w:line="584" w:lineRule="exact"/>
        <w:ind w:left="640"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六</w:t>
      </w:r>
      <w:r>
        <w:rPr>
          <w:rFonts w:eastAsia="仿宋_GB2312"/>
          <w:color w:val="000000" w:themeColor="text1"/>
          <w:sz w:val="32"/>
          <w:szCs w:val="32"/>
          <w14:textFill>
            <w14:solidFill>
              <w14:schemeClr w14:val="tx1"/>
            </w14:solidFill>
          </w14:textFill>
        </w:rPr>
        <w:t>、其他重要事项的说明</w:t>
      </w:r>
    </w:p>
    <w:p>
      <w:pPr>
        <w:widowControl/>
        <w:spacing w:line="584"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第三部分名词解释</w:t>
      </w:r>
    </w:p>
    <w:p>
      <w:pPr>
        <w:widowControl/>
        <w:spacing w:line="584" w:lineRule="exact"/>
        <w:ind w:firstLine="640" w:firstLineChars="200"/>
        <w:rPr>
          <w:rFonts w:eastAsia="黑体"/>
          <w:color w:val="000000" w:themeColor="text1"/>
          <w:sz w:val="32"/>
          <w:szCs w:val="32"/>
          <w14:textFill>
            <w14:solidFill>
              <w14:schemeClr w14:val="tx1"/>
            </w14:solidFill>
          </w14:textFill>
        </w:rPr>
      </w:pPr>
      <w:r>
        <w:rPr>
          <w:rFonts w:eastAsia="黑体"/>
          <w:color w:val="000000" w:themeColor="text1"/>
          <w:sz w:val="32"/>
          <w:szCs w:val="32"/>
          <w14:textFill>
            <w14:solidFill>
              <w14:schemeClr w14:val="tx1"/>
            </w14:solidFill>
          </w14:textFill>
        </w:rPr>
        <w:t>第</w:t>
      </w:r>
      <w:r>
        <w:rPr>
          <w:rFonts w:hint="eastAsia" w:eastAsia="黑体"/>
          <w:color w:val="000000" w:themeColor="text1"/>
          <w:sz w:val="32"/>
          <w:szCs w:val="32"/>
          <w14:textFill>
            <w14:solidFill>
              <w14:schemeClr w14:val="tx1"/>
            </w14:solidFill>
          </w14:textFill>
        </w:rPr>
        <w:t>四</w:t>
      </w:r>
      <w:r>
        <w:rPr>
          <w:rFonts w:eastAsia="黑体"/>
          <w:color w:val="000000" w:themeColor="text1"/>
          <w:sz w:val="32"/>
          <w:szCs w:val="32"/>
          <w14:textFill>
            <w14:solidFill>
              <w14:schemeClr w14:val="tx1"/>
            </w14:solidFill>
          </w14:textFill>
        </w:rPr>
        <w:t>部分201</w:t>
      </w:r>
      <w:r>
        <w:rPr>
          <w:rFonts w:hint="eastAsia" w:eastAsia="黑体"/>
          <w:color w:val="000000" w:themeColor="text1"/>
          <w:sz w:val="32"/>
          <w:szCs w:val="32"/>
          <w14:textFill>
            <w14:solidFill>
              <w14:schemeClr w14:val="tx1"/>
            </w14:solidFill>
          </w14:textFill>
        </w:rPr>
        <w:t>9</w:t>
      </w:r>
      <w:r>
        <w:rPr>
          <w:rFonts w:eastAsia="黑体"/>
          <w:color w:val="000000" w:themeColor="text1"/>
          <w:sz w:val="32"/>
          <w:szCs w:val="32"/>
          <w14:textFill>
            <w14:solidFill>
              <w14:schemeClr w14:val="tx1"/>
            </w14:solidFill>
          </w14:textFill>
        </w:rPr>
        <w:t>年度部门决算报表</w:t>
      </w:r>
    </w:p>
    <w:p>
      <w:pPr>
        <w:widowControl/>
        <w:spacing w:line="584" w:lineRule="exact"/>
        <w:ind w:firstLine="640" w:firstLineChars="200"/>
        <w:rPr>
          <w:rFonts w:eastAsia="仿宋_GB2312"/>
          <w:color w:val="000000" w:themeColor="text1"/>
          <w:sz w:val="20"/>
          <w:szCs w:val="32"/>
          <w14:textFill>
            <w14:solidFill>
              <w14:schemeClr w14:val="tx1"/>
            </w14:solidFill>
          </w14:textFill>
        </w:rPr>
      </w:pPr>
      <w:r>
        <w:rPr>
          <w:rFonts w:hint="eastAsia" w:eastAsia="黑体"/>
          <w:color w:val="000000" w:themeColor="text1"/>
          <w:sz w:val="32"/>
          <w:szCs w:val="32"/>
          <w14:textFill>
            <w14:solidFill>
              <w14:schemeClr w14:val="tx1"/>
            </w14:solidFill>
          </w14:textFill>
        </w:rPr>
        <w:t>第五</w:t>
      </w:r>
      <w:r>
        <w:rPr>
          <w:rFonts w:eastAsia="黑体"/>
          <w:color w:val="000000" w:themeColor="text1"/>
          <w:sz w:val="32"/>
          <w:szCs w:val="32"/>
          <w14:textFill>
            <w14:solidFill>
              <w14:schemeClr w14:val="tx1"/>
            </w14:solidFill>
          </w14:textFill>
        </w:rPr>
        <w:t>部分</w:t>
      </w:r>
      <w:r>
        <w:rPr>
          <w:rFonts w:hint="eastAsia" w:eastAsia="黑体"/>
          <w:color w:val="000000" w:themeColor="text1"/>
          <w:sz w:val="32"/>
          <w:szCs w:val="32"/>
          <w14:textFill>
            <w14:solidFill>
              <w14:schemeClr w14:val="tx1"/>
            </w14:solidFill>
          </w14:textFill>
        </w:rPr>
        <w:t xml:space="preserve">  预算绩效</w:t>
      </w:r>
      <w:r>
        <w:rPr>
          <w:rFonts w:eastAsia="黑体"/>
          <w:color w:val="000000" w:themeColor="text1"/>
          <w:sz w:val="32"/>
          <w:szCs w:val="32"/>
          <w14:textFill>
            <w14:solidFill>
              <w14:schemeClr w14:val="tx1"/>
            </w14:solidFill>
          </w14:textFill>
        </w:rPr>
        <w:t>公开内容</w:t>
      </w:r>
    </w:p>
    <w:p>
      <w:pPr>
        <w:widowControl/>
        <w:spacing w:line="584" w:lineRule="exact"/>
        <w:ind w:left="640"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一</w:t>
      </w:r>
      <w:r>
        <w:rPr>
          <w:rFonts w:eastAsia="仿宋_GB2312"/>
          <w:color w:val="000000" w:themeColor="text1"/>
          <w:sz w:val="32"/>
          <w:szCs w:val="32"/>
          <w14:textFill>
            <w14:solidFill>
              <w14:schemeClr w14:val="tx1"/>
            </w14:solidFill>
          </w14:textFill>
        </w:rPr>
        <w:t>、预算绩效情况说明</w:t>
      </w:r>
    </w:p>
    <w:p>
      <w:pPr>
        <w:widowControl/>
        <w:spacing w:line="584" w:lineRule="exact"/>
        <w:ind w:left="640"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二</w:t>
      </w:r>
      <w:r>
        <w:rPr>
          <w:rFonts w:eastAsia="仿宋_GB2312"/>
          <w:color w:val="000000" w:themeColor="text1"/>
          <w:sz w:val="32"/>
          <w:szCs w:val="32"/>
          <w14:textFill>
            <w14:solidFill>
              <w14:schemeClr w14:val="tx1"/>
            </w14:solidFill>
          </w14:textFill>
        </w:rPr>
        <w:t>、</w:t>
      </w:r>
      <w:r>
        <w:rPr>
          <w:rFonts w:hint="eastAsia" w:eastAsia="仿宋_GB2312"/>
          <w:color w:val="000000" w:themeColor="text1"/>
          <w:sz w:val="32"/>
          <w:szCs w:val="32"/>
          <w14:textFill>
            <w14:solidFill>
              <w14:schemeClr w14:val="tx1"/>
            </w14:solidFill>
          </w14:textFill>
        </w:rPr>
        <w:t>预算</w:t>
      </w:r>
      <w:r>
        <w:rPr>
          <w:rFonts w:eastAsia="仿宋_GB2312"/>
          <w:color w:val="000000" w:themeColor="text1"/>
          <w:sz w:val="32"/>
          <w:szCs w:val="32"/>
          <w14:textFill>
            <w14:solidFill>
              <w14:schemeClr w14:val="tx1"/>
            </w14:solidFill>
          </w14:textFill>
        </w:rPr>
        <w:t>绩效公开表格</w:t>
      </w:r>
    </w:p>
    <w:p>
      <w:pPr>
        <w:widowControl/>
        <w:spacing w:line="584" w:lineRule="exact"/>
        <w:ind w:left="640" w:firstLine="640" w:firstLineChars="200"/>
        <w:rPr>
          <w:rFonts w:eastAsia="仿宋_GB2312"/>
          <w:color w:val="000000" w:themeColor="text1"/>
          <w:sz w:val="32"/>
          <w:szCs w:val="32"/>
          <w14:textFill>
            <w14:solidFill>
              <w14:schemeClr w14:val="tx1"/>
            </w14:solidFill>
          </w14:textFill>
        </w:rPr>
      </w:pPr>
      <w:r>
        <w:rPr>
          <w:rFonts w:hint="eastAsia" w:eastAsia="仿宋_GB2312"/>
          <w:color w:val="000000" w:themeColor="text1"/>
          <w:sz w:val="32"/>
          <w:szCs w:val="32"/>
          <w14:textFill>
            <w14:solidFill>
              <w14:schemeClr w14:val="tx1"/>
            </w14:solidFill>
          </w14:textFill>
        </w:rPr>
        <w:t>1.项目支出绩效自评表</w:t>
      </w:r>
    </w:p>
    <w:p>
      <w:pPr>
        <w:widowControl/>
        <w:spacing w:line="580" w:lineRule="exact"/>
        <w:ind w:firstLine="1273" w:firstLineChars="398"/>
        <w:rPr>
          <w:rFonts w:eastAsia="仿宋_GB2312"/>
          <w:sz w:val="32"/>
          <w:szCs w:val="32"/>
        </w:rPr>
      </w:pPr>
      <w:r>
        <w:rPr>
          <w:rFonts w:eastAsia="仿宋_GB2312"/>
          <w:color w:val="000000" w:themeColor="text1"/>
          <w:sz w:val="32"/>
          <w:szCs w:val="32"/>
          <w14:textFill>
            <w14:solidFill>
              <w14:schemeClr w14:val="tx1"/>
            </w14:solidFill>
          </w14:textFill>
        </w:rPr>
        <w:t>2.</w:t>
      </w:r>
      <w:r>
        <w:rPr>
          <w:rFonts w:hint="eastAsia" w:eastAsia="仿宋_GB2312"/>
          <w:color w:val="000000" w:themeColor="text1"/>
          <w:sz w:val="32"/>
          <w:szCs w:val="32"/>
          <w14:textFill>
            <w14:solidFill>
              <w14:schemeClr w14:val="tx1"/>
            </w14:solidFill>
          </w14:textFill>
        </w:rPr>
        <w:t>部门（单位）整体绩效自评表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p/>
    <w:p/>
    <w:p/>
    <w:p/>
    <w:p/>
    <w:p>
      <w:pPr>
        <w:widowControl/>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第一部分  部门概况</w:t>
      </w:r>
    </w:p>
    <w:p/>
    <w:p/>
    <w:p/>
    <w:p/>
    <w:p/>
    <w:p/>
    <w:p/>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一、部门职责</w:t>
      </w:r>
    </w:p>
    <w:p>
      <w:pPr>
        <w:widowControl/>
        <w:spacing w:before="100" w:beforeAutospacing="1" w:after="100" w:afterAutospacing="1" w:line="560" w:lineRule="atLeast"/>
        <w:ind w:firstLine="482" w:firstLineChars="150"/>
        <w:jc w:val="left"/>
        <w:rPr>
          <w:rFonts w:ascii="楷体" w:hAnsi="楷体" w:eastAsia="楷体"/>
          <w:b/>
          <w:bCs/>
          <w:sz w:val="32"/>
          <w:szCs w:val="32"/>
        </w:rPr>
      </w:pPr>
      <w:r>
        <w:rPr>
          <w:rFonts w:hint="eastAsia" w:ascii="楷体" w:hAnsi="楷体" w:eastAsia="楷体" w:cs="楷体"/>
          <w:b/>
          <w:bCs/>
          <w:sz w:val="32"/>
          <w:szCs w:val="32"/>
        </w:rPr>
        <w:t>（一）城区各社区党支部和各社区居民委员会建设的管理、指导工作</w:t>
      </w:r>
    </w:p>
    <w:p>
      <w:pPr>
        <w:widowControl/>
        <w:spacing w:before="100" w:beforeAutospacing="1" w:after="100" w:afterAutospacing="1" w:line="520" w:lineRule="exact"/>
        <w:ind w:firstLine="480" w:firstLineChars="150"/>
        <w:jc w:val="left"/>
        <w:rPr>
          <w:rFonts w:ascii="仿宋" w:hAnsi="仿宋" w:eastAsia="仿宋"/>
          <w:sz w:val="32"/>
          <w:szCs w:val="32"/>
        </w:rPr>
      </w:pPr>
      <w:r>
        <w:rPr>
          <w:rFonts w:hint="eastAsia" w:ascii="仿宋" w:hAnsi="仿宋" w:eastAsia="仿宋"/>
          <w:sz w:val="32"/>
          <w:szCs w:val="32"/>
        </w:rPr>
        <w:t>执行“三会一课”制度，定期召开组织会议，组织党员开展组织活动，提高党员整体素质；加强居委会软硬件建设，完善居委会服务功能，开展星级社区创建，提高居委会服务水平。开展各种类型的精神文明创建活动，提高居民群众文明素质；开展平安社区创建，进一步加大信访维稳工作力度，建立信访维稳长效机制，有效化解各类矛盾隐患，增加信访案件的调处率，充分发挥城区信访维稳“第一道防线”作用。</w:t>
      </w:r>
    </w:p>
    <w:p>
      <w:pPr>
        <w:widowControl/>
        <w:spacing w:before="100" w:beforeAutospacing="1" w:after="100" w:afterAutospacing="1" w:line="560" w:lineRule="atLeast"/>
        <w:ind w:firstLine="627"/>
        <w:jc w:val="left"/>
        <w:rPr>
          <w:rFonts w:ascii="楷体" w:hAnsi="楷体" w:eastAsia="楷体"/>
          <w:b/>
          <w:bCs/>
          <w:sz w:val="32"/>
          <w:szCs w:val="32"/>
        </w:rPr>
      </w:pPr>
      <w:r>
        <w:rPr>
          <w:rFonts w:hint="eastAsia" w:ascii="楷体" w:hAnsi="楷体" w:eastAsia="楷体" w:cs="楷体"/>
          <w:b/>
          <w:bCs/>
          <w:sz w:val="32"/>
          <w:szCs w:val="32"/>
        </w:rPr>
        <w:t>（二）协调住房和城乡建设、政法、工商、卫生计生、供电、邮政、通讯、文化、教育、税务、民政、财政、广电、安监、统计等部门涉及城区居民生产、生活的相关事宜</w:t>
      </w:r>
    </w:p>
    <w:p>
      <w:pPr>
        <w:widowControl/>
        <w:spacing w:before="100" w:beforeAutospacing="1" w:after="100" w:afterAutospacing="1" w:line="520" w:lineRule="exact"/>
        <w:ind w:firstLine="641"/>
        <w:jc w:val="left"/>
        <w:rPr>
          <w:rFonts w:ascii="仿宋" w:hAnsi="仿宋" w:eastAsia="仿宋"/>
          <w:sz w:val="32"/>
          <w:szCs w:val="32"/>
        </w:rPr>
      </w:pPr>
      <w:r>
        <w:rPr>
          <w:rFonts w:hint="eastAsia" w:ascii="仿宋" w:hAnsi="仿宋" w:eastAsia="仿宋" w:cs="仿宋"/>
          <w:sz w:val="32"/>
          <w:szCs w:val="32"/>
        </w:rPr>
        <w:t>严格清查清理计划外生育，依法处置；开展各种排查治理，进行安全生产监督；落实相关政策，开展各种民政工作；落实相关政策，开展各种劳动保障工作。保障五条劳动和社会保障专线正常运转；协调各相关部门，开展各种数据统计及普查工作；开展各种人民武装工作。</w:t>
      </w:r>
    </w:p>
    <w:p>
      <w:pPr>
        <w:widowControl/>
        <w:spacing w:before="100" w:beforeAutospacing="1" w:after="100" w:afterAutospacing="1" w:line="560" w:lineRule="atLeast"/>
        <w:ind w:firstLine="627"/>
        <w:jc w:val="left"/>
        <w:rPr>
          <w:rFonts w:ascii="楷体" w:hAnsi="楷体" w:eastAsia="楷体"/>
          <w:b/>
          <w:bCs/>
          <w:sz w:val="32"/>
          <w:szCs w:val="32"/>
        </w:rPr>
      </w:pPr>
      <w:r>
        <w:rPr>
          <w:rFonts w:hint="eastAsia" w:ascii="楷体" w:hAnsi="楷体" w:eastAsia="楷体" w:cs="楷体"/>
          <w:b/>
          <w:bCs/>
          <w:sz w:val="32"/>
          <w:szCs w:val="32"/>
        </w:rPr>
        <w:t>（三）为城区居民搞好各项利民、便民、惠民服务工作</w:t>
      </w:r>
    </w:p>
    <w:p>
      <w:pPr>
        <w:widowControl/>
        <w:spacing w:before="100" w:beforeAutospacing="1" w:after="100" w:afterAutospacing="1" w:line="520" w:lineRule="exact"/>
        <w:ind w:firstLine="629"/>
        <w:jc w:val="left"/>
        <w:rPr>
          <w:rFonts w:ascii="楷体" w:hAnsi="楷体" w:eastAsia="楷体"/>
          <w:b/>
          <w:bCs/>
          <w:sz w:val="32"/>
          <w:szCs w:val="32"/>
        </w:rPr>
      </w:pPr>
      <w:r>
        <w:rPr>
          <w:rFonts w:hint="eastAsia" w:ascii="仿宋" w:hAnsi="仿宋" w:eastAsia="仿宋" w:cs="仿宋"/>
          <w:sz w:val="32"/>
          <w:szCs w:val="32"/>
        </w:rPr>
        <w:t>加强社区基础设施建设，实施多项惠民实事工程，城区街道综合服务能力明显提升，社区活动进一步丰富。</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rPr>
          <w:rFonts w:ascii="仿宋_GB2312" w:eastAsia="仿宋_GB2312" w:cs="ArialUnicodeMS" w:hAnsiTheme="minorHAnsi"/>
          <w:kern w:val="0"/>
          <w:sz w:val="32"/>
          <w:szCs w:val="32"/>
        </w:rPr>
      </w:pPr>
      <w:r>
        <w:rPr>
          <w:rFonts w:hint="eastAsia" w:ascii="仿宋_GB2312" w:eastAsia="仿宋_GB2312" w:cs="ArialUnicodeMS" w:hAnsiTheme="minorHAnsi"/>
          <w:kern w:val="0"/>
          <w:sz w:val="32"/>
          <w:szCs w:val="32"/>
        </w:rPr>
        <w:t>从决算编报单位构成看，纳入201</w:t>
      </w:r>
      <w:r>
        <w:rPr>
          <w:rFonts w:hint="eastAsia" w:ascii="宋体" w:hAnsi="宋体" w:cs="宋体"/>
          <w:kern w:val="0"/>
          <w:sz w:val="32"/>
          <w:szCs w:val="32"/>
        </w:rPr>
        <w:t>9</w:t>
      </w:r>
      <w:r>
        <w:rPr>
          <w:rFonts w:hint="eastAsia" w:ascii="仿宋_GB2312" w:eastAsia="仿宋_GB2312" w:cs="ArialUnicodeMS" w:hAnsiTheme="minorHAnsi"/>
          <w:kern w:val="0"/>
          <w:sz w:val="32"/>
          <w:szCs w:val="32"/>
        </w:rPr>
        <w:t xml:space="preserve"> 年度本部门决算汇编范围的独立核算单位（以下简称“单位”）共1个，具体情况如下：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659"/>
        <w:gridCol w:w="2271"/>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659"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271"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85" w:type="dxa"/>
          </w:tcPr>
          <w:p>
            <w:pPr>
              <w:spacing w:after="0" w:line="560" w:lineRule="exact"/>
              <w:jc w:val="center"/>
              <w:rPr>
                <w:rFonts w:ascii="仿宋_GB2312" w:eastAsia="仿宋_GB2312" w:cs="ArialUnicodeMS" w:hAnsiTheme="minorHAnsi"/>
                <w:kern w:val="0"/>
                <w:sz w:val="28"/>
                <w:szCs w:val="28"/>
              </w:rPr>
            </w:pPr>
            <w:r>
              <w:rPr>
                <w:rFonts w:hint="eastAsia" w:ascii="仿宋_GB2312" w:eastAsia="仿宋_GB2312" w:cs="ArialUnicodeMS" w:hAnsiTheme="minorHAnsi"/>
                <w:kern w:val="0"/>
                <w:sz w:val="28"/>
                <w:szCs w:val="28"/>
              </w:rPr>
              <w:t>1</w:t>
            </w:r>
          </w:p>
        </w:tc>
        <w:tc>
          <w:tcPr>
            <w:tcW w:w="3659" w:type="dxa"/>
          </w:tcPr>
          <w:p>
            <w:pPr>
              <w:spacing w:after="0" w:line="560" w:lineRule="exact"/>
              <w:rPr>
                <w:rFonts w:cs="ArialUnicodeMS" w:asciiTheme="majorEastAsia" w:hAnsiTheme="majorEastAsia" w:eastAsiaTheme="majorEastAsia"/>
                <w:kern w:val="0"/>
                <w:sz w:val="24"/>
              </w:rPr>
            </w:pPr>
            <w:r>
              <w:rPr>
                <w:rFonts w:hint="eastAsia" w:cs="宋体" w:asciiTheme="majorEastAsia" w:hAnsiTheme="majorEastAsia" w:eastAsiaTheme="majorEastAsia"/>
                <w:kern w:val="0"/>
                <w:sz w:val="24"/>
              </w:rPr>
              <w:t>大厂回族自治县北辰街道办事处</w:t>
            </w:r>
          </w:p>
        </w:tc>
        <w:tc>
          <w:tcPr>
            <w:tcW w:w="2271" w:type="dxa"/>
          </w:tcPr>
          <w:p>
            <w:pPr>
              <w:spacing w:after="0" w:line="560" w:lineRule="exact"/>
              <w:jc w:val="center"/>
              <w:rPr>
                <w:rFonts w:cs="ArialUnicodeMS" w:asciiTheme="majorEastAsia" w:hAnsiTheme="majorEastAsia" w:eastAsiaTheme="majorEastAsia"/>
                <w:color w:val="000000" w:themeColor="text1"/>
                <w:kern w:val="0"/>
                <w:sz w:val="24"/>
                <w14:textFill>
                  <w14:solidFill>
                    <w14:schemeClr w14:val="tx1"/>
                  </w14:solidFill>
                </w14:textFill>
              </w:rPr>
            </w:pPr>
            <w:r>
              <w:rPr>
                <w:rFonts w:hint="eastAsia" w:cs="ArialUnicodeMS" w:asciiTheme="majorEastAsia" w:hAnsiTheme="majorEastAsia" w:eastAsiaTheme="majorEastAsia"/>
                <w:color w:val="000000" w:themeColor="text1"/>
                <w:kern w:val="0"/>
                <w:sz w:val="24"/>
                <w14:textFill>
                  <w14:solidFill>
                    <w14:schemeClr w14:val="tx1"/>
                  </w14:solidFill>
                </w14:textFill>
              </w:rPr>
              <w:t>行政单位</w:t>
            </w:r>
          </w:p>
        </w:tc>
        <w:tc>
          <w:tcPr>
            <w:tcW w:w="2665" w:type="dxa"/>
          </w:tcPr>
          <w:p>
            <w:pPr>
              <w:spacing w:after="0" w:line="560" w:lineRule="exact"/>
              <w:jc w:val="center"/>
              <w:rPr>
                <w:rFonts w:cs="ArialUnicodeMS" w:asciiTheme="majorEastAsia" w:hAnsiTheme="majorEastAsia" w:eastAsiaTheme="majorEastAsia"/>
                <w:kern w:val="0"/>
                <w:sz w:val="24"/>
              </w:rPr>
            </w:pPr>
            <w:r>
              <w:rPr>
                <w:rFonts w:hint="eastAsia" w:cs="ArialUnicodeMS" w:asciiTheme="majorEastAsia" w:hAnsiTheme="majorEastAsia" w:eastAsiaTheme="majorEastAsia"/>
                <w:kern w:val="0"/>
                <w:sz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after="0" w:line="560" w:lineRule="exact"/>
              <w:ind w:firstLine="560" w:firstLineChars="200"/>
              <w:jc w:val="left"/>
              <w:rPr>
                <w:rFonts w:ascii="仿宋_GB2312" w:eastAsia="仿宋_GB2312" w:cs="ArialUnicodeMS" w:hAnsiTheme="minorHAnsi"/>
                <w:kern w:val="0"/>
                <w:sz w:val="28"/>
                <w:szCs w:val="28"/>
              </w:rPr>
            </w:pPr>
          </w:p>
        </w:tc>
      </w:tr>
    </w:tbl>
    <w:p>
      <w:pPr>
        <w:widowControl/>
        <w:spacing w:line="560" w:lineRule="exact"/>
        <w:rPr>
          <w:rFonts w:ascii="黑体" w:eastAsia="黑体" w:cs="MS-UIGothic,Bold" w:hAnsiTheme="minorHAnsi"/>
          <w:bCs/>
          <w:kern w:val="0"/>
          <w:sz w:val="52"/>
          <w:szCs w:val="52"/>
        </w:rPr>
      </w:pPr>
    </w:p>
    <w:p>
      <w:pPr>
        <w:widowControl/>
        <w:spacing w:line="560" w:lineRule="exact"/>
        <w:jc w:val="center"/>
        <w:rPr>
          <w:rFonts w:ascii="黑体" w:eastAsia="黑体" w:cs="MS-UIGothic,Bold" w:hAnsiTheme="minorHAnsi"/>
          <w:bCs/>
          <w:kern w:val="0"/>
          <w:sz w:val="52"/>
          <w:szCs w:val="52"/>
        </w:rPr>
        <w:sectPr>
          <w:pgSz w:w="11906" w:h="16838"/>
          <w:pgMar w:top="2098" w:right="1474" w:bottom="1984" w:left="1588" w:header="851" w:footer="992" w:gutter="0"/>
          <w:cols w:space="0" w:num="1"/>
          <w:docGrid w:type="lines" w:linePitch="312" w:charSpace="0"/>
        </w:sect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p>
    <w:p>
      <w:pPr>
        <w:widowControl/>
        <w:spacing w:line="1200" w:lineRule="exact"/>
        <w:jc w:val="center"/>
        <w:rPr>
          <w:rFonts w:ascii="黑体" w:hAnsi="宋体" w:eastAsia="黑体"/>
          <w:color w:val="000000"/>
          <w:sz w:val="72"/>
          <w:szCs w:val="96"/>
        </w:rPr>
      </w:pPr>
      <w:r>
        <w:rPr>
          <w:rFonts w:hint="eastAsia" w:ascii="黑体" w:hAnsi="宋体" w:eastAsia="黑体"/>
          <w:color w:val="000000"/>
          <w:sz w:val="72"/>
          <w:szCs w:val="96"/>
        </w:rPr>
        <w:t>第二部分</w:t>
      </w:r>
    </w:p>
    <w:p>
      <w:pPr>
        <w:widowControl/>
        <w:spacing w:line="1200" w:lineRule="exact"/>
        <w:jc w:val="center"/>
        <w:rPr>
          <w:color w:val="000000"/>
          <w:sz w:val="72"/>
          <w:szCs w:val="96"/>
        </w:rPr>
      </w:pPr>
      <w:r>
        <w:rPr>
          <w:rFonts w:hint="eastAsia" w:ascii="黑体" w:hAnsi="宋体" w:eastAsia="黑体"/>
          <w:color w:val="000000"/>
          <w:sz w:val="72"/>
          <w:szCs w:val="96"/>
        </w:rPr>
        <w:t>2019年度部门决算情况说明</w:t>
      </w: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eastAsia="黑体" w:cs="黑体" w:hAnsiTheme="minorHAnsi"/>
          <w:b w:val="0"/>
          <w:bCs w:val="0"/>
          <w:kern w:val="0"/>
        </w:rPr>
        <w:t>支出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本部门2019年度收支总计（含结转和结余）</w:t>
      </w:r>
      <w:r>
        <w:rPr>
          <w:rFonts w:hint="eastAsia" w:ascii="仿宋" w:hAnsi="仿宋" w:eastAsia="仿宋" w:cs="宋体"/>
          <w:sz w:val="32"/>
          <w:szCs w:val="32"/>
        </w:rPr>
        <w:t>3347.71</w:t>
      </w:r>
      <w:r>
        <w:rPr>
          <w:rFonts w:hint="eastAsia" w:ascii="仿宋" w:hAnsi="仿宋" w:eastAsia="仿宋" w:cs="DengXian-Regular"/>
          <w:sz w:val="32"/>
          <w:szCs w:val="32"/>
        </w:rPr>
        <w:t>万元。与2018年度决算相比，收支各减少991.53万元，减少22.85%，主要是2018年存在荣昌街社区服务用房回购项,2019年没有用房回购项目。</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本部门2019年度本年收入合计</w:t>
      </w:r>
      <w:r>
        <w:rPr>
          <w:rFonts w:hint="eastAsia" w:ascii="仿宋" w:hAnsi="仿宋" w:eastAsia="仿宋" w:cs="宋体"/>
          <w:sz w:val="32"/>
          <w:szCs w:val="32"/>
        </w:rPr>
        <w:t>3262.30</w:t>
      </w:r>
      <w:r>
        <w:rPr>
          <w:rFonts w:hint="eastAsia" w:ascii="仿宋" w:hAnsi="仿宋" w:eastAsia="仿宋" w:cs="DengXian-Regular"/>
          <w:sz w:val="32"/>
          <w:szCs w:val="32"/>
        </w:rPr>
        <w:t>万元，其中：财政拨款收入</w:t>
      </w:r>
      <w:r>
        <w:rPr>
          <w:rFonts w:hint="eastAsia" w:ascii="仿宋" w:hAnsi="仿宋" w:eastAsia="仿宋" w:cs="宋体"/>
          <w:sz w:val="32"/>
          <w:szCs w:val="32"/>
        </w:rPr>
        <w:t>3262.30</w:t>
      </w:r>
      <w:r>
        <w:rPr>
          <w:rFonts w:hint="eastAsia" w:ascii="仿宋" w:hAnsi="仿宋" w:eastAsia="仿宋" w:cs="DengXian-Regular"/>
          <w:sz w:val="32"/>
          <w:szCs w:val="32"/>
        </w:rPr>
        <w:t>万元，占100%；事业收入0万元，占0%；经营收入0万元，占0%；其他收入0万元，占0%。如图所示：</w:t>
      </w:r>
    </w:p>
    <w:p>
      <w:pPr>
        <w:adjustRightInd w:val="0"/>
        <w:snapToGrid w:val="0"/>
        <w:spacing w:line="584" w:lineRule="exact"/>
        <w:jc w:val="center"/>
        <w:rPr>
          <w:rFonts w:eastAsia="仿宋_GB2312"/>
          <w:sz w:val="32"/>
          <w:szCs w:val="32"/>
        </w:rPr>
      </w:pPr>
      <w:r>
        <w:rPr>
          <w:rFonts w:eastAsia="仿宋_GB2312"/>
          <w:sz w:val="32"/>
          <w:szCs w:val="32"/>
        </w:rPr>
        <w:t>图1：收入决算结构饼状图</w:t>
      </w:r>
    </w:p>
    <w:p>
      <w:pPr>
        <w:rPr>
          <w:rFonts w:ascii="黑体" w:eastAsia="黑体" w:hAnsiTheme="majorHAnsi" w:cstheme="majorBidi"/>
          <w:sz w:val="32"/>
          <w:szCs w:val="32"/>
        </w:rPr>
      </w:pPr>
      <w:r>
        <w:rPr>
          <w:rFonts w:ascii="黑体" w:eastAsia="黑体" w:hAnsiTheme="majorHAnsi" w:cstheme="majorBidi"/>
          <w:sz w:val="32"/>
          <w:szCs w:val="32"/>
        </w:rPr>
        <w:drawing>
          <wp:inline distT="0" distB="0" distL="0" distR="0">
            <wp:extent cx="5572125" cy="3076575"/>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本部门2019年度本年支出合计</w:t>
      </w:r>
      <w:r>
        <w:rPr>
          <w:rFonts w:hint="eastAsia" w:ascii="仿宋" w:hAnsi="仿宋" w:eastAsia="仿宋" w:cs="宋体"/>
          <w:sz w:val="32"/>
          <w:szCs w:val="32"/>
        </w:rPr>
        <w:t>3347.39</w:t>
      </w:r>
      <w:r>
        <w:rPr>
          <w:rFonts w:hint="eastAsia" w:ascii="仿宋" w:hAnsi="仿宋" w:eastAsia="仿宋" w:cs="DengXian-Regular"/>
          <w:sz w:val="32"/>
          <w:szCs w:val="32"/>
        </w:rPr>
        <w:t>万元，其中：基本支出574.82万元，占17.17%；项目支出2772.56万元，占82.83%；经营支出0万元，占0%。如图所示：</w:t>
      </w:r>
    </w:p>
    <w:p>
      <w:pPr>
        <w:adjustRightInd w:val="0"/>
        <w:snapToGrid w:val="0"/>
        <w:spacing w:after="0" w:line="580" w:lineRule="exact"/>
        <w:jc w:val="center"/>
        <w:rPr>
          <w:rFonts w:ascii="仿宋_GB2312" w:eastAsia="仿宋_GB2312" w:cs="DengXian-Regular"/>
          <w:sz w:val="32"/>
          <w:szCs w:val="32"/>
        </w:rPr>
      </w:pPr>
      <w:r>
        <w:rPr>
          <w:rFonts w:eastAsia="仿宋_GB2312"/>
          <w:sz w:val="32"/>
          <w:szCs w:val="32"/>
        </w:rPr>
        <w:t>图2：支出决算结构饼状图</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 xml:space="preserve">                                 </w:t>
      </w:r>
    </w:p>
    <w:p>
      <w:pPr>
        <w:adjustRightInd w:val="0"/>
        <w:snapToGrid w:val="0"/>
        <w:spacing w:after="0" w:line="240" w:lineRule="auto"/>
        <w:ind w:firstLine="640" w:firstLineChars="200"/>
        <w:rPr>
          <w:rFonts w:ascii="仿宋_GB2312" w:eastAsia="仿宋_GB2312" w:cs="DengXian-Regular"/>
          <w:sz w:val="32"/>
          <w:szCs w:val="32"/>
        </w:rPr>
      </w:pPr>
    </w:p>
    <w:p>
      <w:pPr>
        <w:adjustRightInd w:val="0"/>
        <w:snapToGrid w:val="0"/>
        <w:spacing w:after="0" w:line="24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drawing>
          <wp:inline distT="0" distB="0" distL="0" distR="0">
            <wp:extent cx="5295900" cy="3286125"/>
            <wp:effectExtent l="0" t="0" r="0" b="0"/>
            <wp:docPr id="3"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pPr>
        <w:adjustRightInd w:val="0"/>
        <w:snapToGrid w:val="0"/>
        <w:spacing w:after="0" w:line="240" w:lineRule="auto"/>
        <w:ind w:firstLine="640" w:firstLineChars="200"/>
        <w:rPr>
          <w:rFonts w:ascii="仿宋_GB2312" w:eastAsia="仿宋_GB2312" w:cs="DengXian-Regular"/>
          <w:sz w:val="32"/>
          <w:szCs w:val="32"/>
        </w:rPr>
      </w:pPr>
    </w:p>
    <w:p>
      <w:pPr>
        <w:adjustRightInd w:val="0"/>
        <w:snapToGrid w:val="0"/>
        <w:spacing w:after="0" w:line="240" w:lineRule="auto"/>
        <w:ind w:firstLine="640" w:firstLineChars="200"/>
        <w:rPr>
          <w:rFonts w:ascii="仿宋_GB2312" w:eastAsia="仿宋_GB2312" w:cs="DengXian-Regular"/>
          <w:sz w:val="32"/>
          <w:szCs w:val="32"/>
        </w:rPr>
      </w:pPr>
      <w:r>
        <w:rPr>
          <w:rFonts w:hint="eastAsia" w:ascii="仿宋_GB2312" w:eastAsia="仿宋_GB2312" w:cs="DengXian-Regular"/>
          <w:sz w:val="32"/>
          <w:szCs w:val="32"/>
        </w:rPr>
        <w:t xml:space="preserve"> </w:t>
      </w:r>
    </w:p>
    <w:p>
      <w:pPr>
        <w:pStyle w:val="3"/>
        <w:spacing w:before="0" w:after="0" w:line="580" w:lineRule="exact"/>
        <w:ind w:firstLine="640" w:firstLineChars="200"/>
        <w:rPr>
          <w:rFonts w:ascii="黑体" w:eastAsia="黑体"/>
          <w:b w:val="0"/>
          <w:bCs w:val="0"/>
        </w:rPr>
      </w:pPr>
      <w:r>
        <w:rPr>
          <w:rFonts w:hint="eastAsia" w:ascii="黑体" w:eastAsia="黑体"/>
          <w:b w:val="0"/>
          <w:bCs w:val="0"/>
        </w:rPr>
        <w:t>四、</w:t>
      </w:r>
      <w:r>
        <w:rPr>
          <w:rFonts w:hint="eastAsia" w:ascii="黑体" w:eastAsia="黑体" w:cs="黑体" w:hAnsiTheme="minorHAnsi"/>
          <w:b w:val="0"/>
          <w:bCs w:val="0"/>
          <w:kern w:val="0"/>
        </w:rPr>
        <w:t>财政</w:t>
      </w:r>
      <w:r>
        <w:rPr>
          <w:rFonts w:hint="eastAsia" w:ascii="黑体" w:eastAsia="黑体"/>
          <w:b w:val="0"/>
          <w:bCs w:val="0"/>
        </w:rPr>
        <w:t>拨款收入支出决算情况说明</w:t>
      </w:r>
    </w:p>
    <w:p>
      <w:pPr>
        <w:spacing w:after="0" w:line="580" w:lineRule="exact"/>
        <w:ind w:firstLine="643" w:firstLineChars="200"/>
        <w:rPr>
          <w:rFonts w:ascii="宋体" w:hAnsi="宋体" w:cs="宋体"/>
          <w:b/>
          <w:bCs/>
          <w:sz w:val="32"/>
          <w:szCs w:val="32"/>
        </w:rPr>
      </w:pPr>
      <w:r>
        <w:rPr>
          <w:rFonts w:hint="eastAsia" w:ascii="楷体_GB2312" w:eastAsia="楷体_GB2312" w:cs="DengXian-Bold"/>
          <w:b/>
          <w:bCs/>
          <w:sz w:val="32"/>
          <w:szCs w:val="32"/>
        </w:rPr>
        <w:t>（一）财政拨款收支与201</w:t>
      </w:r>
      <w:r>
        <w:rPr>
          <w:rFonts w:hint="eastAsia" w:ascii="楷体" w:hAnsi="楷体" w:eastAsia="楷体" w:cs="宋体"/>
          <w:bCs/>
          <w:sz w:val="32"/>
          <w:szCs w:val="32"/>
        </w:rPr>
        <w:t>8</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本部门2019年度财政拨款本年收入</w:t>
      </w:r>
      <w:r>
        <w:rPr>
          <w:rFonts w:hint="eastAsia" w:ascii="仿宋" w:hAnsi="仿宋" w:eastAsia="仿宋" w:cs="宋体"/>
          <w:sz w:val="32"/>
          <w:szCs w:val="32"/>
        </w:rPr>
        <w:t>3262.30</w:t>
      </w:r>
      <w:r>
        <w:rPr>
          <w:rFonts w:hint="eastAsia" w:ascii="仿宋" w:hAnsi="仿宋" w:eastAsia="仿宋" w:cs="DengXian-Regular"/>
          <w:sz w:val="32"/>
          <w:szCs w:val="32"/>
        </w:rPr>
        <w:t>万元,比2018年度减少1043.79万元，减少24.24%，主要是2018年存在荣昌街社区服务用房回购项目，2019没有用房回购项目，因此，相较2018年，减少项目预算</w:t>
      </w:r>
      <w:r>
        <w:rPr>
          <w:rFonts w:hint="eastAsia" w:ascii="仿宋" w:hAnsi="仿宋" w:eastAsia="仿宋" w:cs="宋体"/>
          <w:sz w:val="32"/>
          <w:szCs w:val="32"/>
        </w:rPr>
        <w:t>；</w:t>
      </w:r>
      <w:r>
        <w:rPr>
          <w:rFonts w:hint="eastAsia" w:ascii="仿宋" w:hAnsi="仿宋" w:eastAsia="仿宋" w:cs="DengXian-Regular"/>
          <w:sz w:val="32"/>
          <w:szCs w:val="32"/>
        </w:rPr>
        <w:t>本年支出</w:t>
      </w:r>
      <w:r>
        <w:rPr>
          <w:rFonts w:hint="eastAsia" w:ascii="仿宋" w:hAnsi="仿宋" w:eastAsia="仿宋" w:cs="宋体"/>
          <w:sz w:val="32"/>
          <w:szCs w:val="32"/>
        </w:rPr>
        <w:t>3347.39</w:t>
      </w:r>
      <w:r>
        <w:rPr>
          <w:rFonts w:hint="eastAsia" w:ascii="仿宋" w:hAnsi="仿宋" w:eastAsia="仿宋" w:cs="DengXian-Regular"/>
          <w:sz w:val="32"/>
          <w:szCs w:val="32"/>
        </w:rPr>
        <w:t>万元，减少887.47万元，减少20.95%，主要是2018年支付荣昌街社区服务用房回购项目款。</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其</w:t>
      </w:r>
      <w:r>
        <w:rPr>
          <w:rFonts w:hint="eastAsia" w:ascii="仿宋" w:hAnsi="仿宋" w:eastAsia="仿宋" w:cs="宋体"/>
          <w:sz w:val="32"/>
          <w:szCs w:val="32"/>
        </w:rPr>
        <w:t>中</w:t>
      </w:r>
      <w:r>
        <w:rPr>
          <w:rFonts w:hint="eastAsia" w:ascii="仿宋" w:hAnsi="仿宋" w:eastAsia="仿宋" w:cs="___WRD_EMBED_SUB_39"/>
          <w:sz w:val="32"/>
          <w:szCs w:val="32"/>
        </w:rPr>
        <w:t>：一般公共预算财政拨款本年收入</w:t>
      </w:r>
      <w:r>
        <w:rPr>
          <w:rFonts w:hint="eastAsia" w:ascii="仿宋" w:hAnsi="仿宋" w:eastAsia="仿宋" w:cs="宋体"/>
          <w:sz w:val="32"/>
          <w:szCs w:val="32"/>
        </w:rPr>
        <w:t>3262.30</w:t>
      </w:r>
      <w:r>
        <w:rPr>
          <w:rFonts w:hint="eastAsia" w:ascii="仿宋" w:hAnsi="仿宋" w:eastAsia="仿宋" w:cs="DengXian-Regular"/>
          <w:sz w:val="32"/>
          <w:szCs w:val="32"/>
        </w:rPr>
        <w:t>万元,比2018年度减少1043.79万元，减少24.24%，主要是2018年存在荣昌街社区服务用房回购项目，2019没有用房回购项目</w:t>
      </w:r>
      <w:r>
        <w:rPr>
          <w:rFonts w:hint="eastAsia" w:ascii="仿宋" w:hAnsi="仿宋" w:eastAsia="仿宋" w:cs="宋体"/>
          <w:sz w:val="32"/>
          <w:szCs w:val="32"/>
        </w:rPr>
        <w:t>；</w:t>
      </w:r>
      <w:r>
        <w:rPr>
          <w:rFonts w:hint="eastAsia" w:ascii="仿宋" w:hAnsi="仿宋" w:eastAsia="仿宋" w:cs="DengXian-Regular"/>
          <w:sz w:val="32"/>
          <w:szCs w:val="32"/>
        </w:rPr>
        <w:t>本年支出</w:t>
      </w:r>
      <w:r>
        <w:rPr>
          <w:rFonts w:hint="eastAsia" w:ascii="仿宋" w:hAnsi="仿宋" w:eastAsia="仿宋" w:cs="宋体"/>
          <w:sz w:val="32"/>
          <w:szCs w:val="32"/>
        </w:rPr>
        <w:t>3343.39</w:t>
      </w:r>
      <w:r>
        <w:rPr>
          <w:rFonts w:hint="eastAsia" w:ascii="仿宋" w:hAnsi="仿宋" w:eastAsia="仿宋" w:cs="DengXian-Regular"/>
          <w:sz w:val="32"/>
          <w:szCs w:val="32"/>
        </w:rPr>
        <w:t>万元，减少891.47万元，减少21.05%，主要是2018年支付荣昌街社区服务用房回购项目款。政府性基金预算财政拨款本年收入0</w:t>
      </w:r>
      <w:r>
        <w:rPr>
          <w:rFonts w:hint="eastAsia" w:ascii="仿宋" w:hAnsi="仿宋" w:eastAsia="仿宋" w:cs="宋体"/>
          <w:sz w:val="32"/>
          <w:szCs w:val="32"/>
        </w:rPr>
        <w:t>万元</w:t>
      </w:r>
      <w:r>
        <w:rPr>
          <w:rFonts w:hint="eastAsia" w:ascii="仿宋" w:hAnsi="仿宋" w:eastAsia="仿宋" w:cs="___WRD_EMBED_SUB_39"/>
          <w:sz w:val="32"/>
          <w:szCs w:val="32"/>
        </w:rPr>
        <w:t>，比</w:t>
      </w:r>
      <w:r>
        <w:rPr>
          <w:rFonts w:hint="eastAsia" w:ascii="仿宋" w:hAnsi="仿宋" w:eastAsia="仿宋" w:cs="DengXian-Regular"/>
          <w:sz w:val="32"/>
          <w:szCs w:val="32"/>
        </w:rPr>
        <w:t>2018年度</w:t>
      </w:r>
      <w:r>
        <w:rPr>
          <w:rFonts w:hint="eastAsia" w:ascii="仿宋" w:hAnsi="仿宋" w:eastAsia="仿宋" w:cs="宋体"/>
          <w:sz w:val="32"/>
          <w:szCs w:val="32"/>
        </w:rPr>
        <w:t>减少</w:t>
      </w:r>
      <w:r>
        <w:rPr>
          <w:rFonts w:hint="eastAsia" w:ascii="仿宋" w:hAnsi="仿宋" w:eastAsia="仿宋" w:cs="DengXian-Regular"/>
          <w:sz w:val="32"/>
          <w:szCs w:val="32"/>
        </w:rPr>
        <w:t>1</w:t>
      </w:r>
      <w:r>
        <w:rPr>
          <w:rFonts w:hint="eastAsia" w:ascii="仿宋" w:hAnsi="仿宋" w:eastAsia="仿宋" w:cs="宋体"/>
          <w:sz w:val="32"/>
          <w:szCs w:val="32"/>
        </w:rPr>
        <w:t>423.84万元</w:t>
      </w:r>
      <w:r>
        <w:rPr>
          <w:rFonts w:hint="eastAsia" w:ascii="仿宋" w:hAnsi="仿宋" w:eastAsia="仿宋" w:cs="___WRD_EMBED_SUB_39"/>
          <w:sz w:val="32"/>
          <w:szCs w:val="32"/>
        </w:rPr>
        <w:t>，</w:t>
      </w:r>
      <w:r>
        <w:rPr>
          <w:rFonts w:hint="eastAsia" w:ascii="仿宋" w:hAnsi="仿宋" w:eastAsia="仿宋" w:cs="宋体"/>
          <w:sz w:val="32"/>
          <w:szCs w:val="32"/>
        </w:rPr>
        <w:t>降低</w:t>
      </w:r>
      <w:r>
        <w:rPr>
          <w:rFonts w:hint="eastAsia" w:ascii="仿宋" w:hAnsi="仿宋" w:eastAsia="仿宋" w:cs="DengXian-Regular"/>
          <w:sz w:val="32"/>
          <w:szCs w:val="32"/>
        </w:rPr>
        <w:t>100%，</w:t>
      </w:r>
      <w:r>
        <w:rPr>
          <w:rFonts w:hint="eastAsia" w:ascii="仿宋" w:hAnsi="仿宋" w:eastAsia="仿宋" w:cs="宋体"/>
          <w:sz w:val="32"/>
          <w:szCs w:val="32"/>
        </w:rPr>
        <w:t>主</w:t>
      </w:r>
      <w:r>
        <w:rPr>
          <w:rFonts w:hint="eastAsia" w:ascii="仿宋" w:hAnsi="仿宋" w:eastAsia="仿宋" w:cs="___WRD_EMBED_SUB_39"/>
          <w:sz w:val="32"/>
          <w:szCs w:val="32"/>
        </w:rPr>
        <w:t>要</w:t>
      </w:r>
      <w:r>
        <w:rPr>
          <w:rFonts w:hint="eastAsia" w:ascii="仿宋" w:hAnsi="仿宋" w:eastAsia="仿宋" w:cs="宋体"/>
          <w:sz w:val="32"/>
          <w:szCs w:val="32"/>
        </w:rPr>
        <w:t>是减少</w:t>
      </w:r>
      <w:r>
        <w:rPr>
          <w:rFonts w:hint="eastAsia" w:ascii="仿宋" w:hAnsi="仿宋" w:eastAsia="仿宋" w:cs="DengXian-Regular"/>
          <w:sz w:val="32"/>
          <w:szCs w:val="32"/>
        </w:rPr>
        <w:t>荣昌街社区服务用房回购项目</w:t>
      </w:r>
      <w:r>
        <w:rPr>
          <w:rFonts w:hint="eastAsia" w:ascii="仿宋" w:hAnsi="仿宋" w:eastAsia="仿宋" w:cs="宋体"/>
          <w:sz w:val="32"/>
          <w:szCs w:val="32"/>
        </w:rPr>
        <w:t>；</w:t>
      </w:r>
      <w:r>
        <w:rPr>
          <w:rFonts w:hint="eastAsia" w:ascii="仿宋" w:hAnsi="仿宋" w:eastAsia="仿宋" w:cs="___WRD_EMBED_SUB_39"/>
          <w:sz w:val="32"/>
          <w:szCs w:val="32"/>
        </w:rPr>
        <w:t>本年支出</w:t>
      </w:r>
      <w:r>
        <w:rPr>
          <w:rFonts w:hint="eastAsia" w:ascii="仿宋" w:hAnsi="仿宋" w:eastAsia="仿宋" w:cs="DengXian-Regular"/>
          <w:sz w:val="32"/>
          <w:szCs w:val="32"/>
        </w:rPr>
        <w:t>4.00</w:t>
      </w:r>
      <w:r>
        <w:rPr>
          <w:rFonts w:hint="eastAsia" w:ascii="仿宋" w:hAnsi="仿宋" w:eastAsia="仿宋" w:cs="宋体"/>
          <w:sz w:val="32"/>
          <w:szCs w:val="32"/>
        </w:rPr>
        <w:t>万元</w:t>
      </w:r>
      <w:r>
        <w:rPr>
          <w:rFonts w:hint="eastAsia" w:ascii="仿宋" w:hAnsi="仿宋" w:eastAsia="仿宋" w:cs="___WRD_EMBED_SUB_39"/>
          <w:sz w:val="32"/>
          <w:szCs w:val="32"/>
        </w:rPr>
        <w:t>，比</w:t>
      </w:r>
      <w:r>
        <w:rPr>
          <w:rFonts w:hint="eastAsia" w:ascii="仿宋" w:hAnsi="仿宋" w:eastAsia="仿宋" w:cs="DengXian-Regular"/>
          <w:sz w:val="32"/>
          <w:szCs w:val="32"/>
        </w:rPr>
        <w:t>2018年度</w:t>
      </w:r>
      <w:r>
        <w:rPr>
          <w:rFonts w:hint="eastAsia" w:ascii="仿宋" w:hAnsi="仿宋" w:eastAsia="仿宋" w:cs="宋体"/>
          <w:sz w:val="32"/>
          <w:szCs w:val="32"/>
        </w:rPr>
        <w:t>减少</w:t>
      </w:r>
      <w:r>
        <w:rPr>
          <w:rFonts w:hint="eastAsia" w:ascii="仿宋" w:hAnsi="仿宋" w:eastAsia="仿宋" w:cs="DengXian-Regular"/>
          <w:sz w:val="32"/>
          <w:szCs w:val="32"/>
        </w:rPr>
        <w:t>1415.13</w:t>
      </w:r>
      <w:r>
        <w:rPr>
          <w:rFonts w:hint="eastAsia" w:ascii="仿宋" w:hAnsi="仿宋" w:eastAsia="仿宋" w:cs="宋体"/>
          <w:sz w:val="32"/>
          <w:szCs w:val="32"/>
        </w:rPr>
        <w:t>万元</w:t>
      </w:r>
      <w:r>
        <w:rPr>
          <w:rFonts w:hint="eastAsia" w:ascii="仿宋" w:hAnsi="仿宋" w:eastAsia="仿宋" w:cs="___WRD_EMBED_SUB_39"/>
          <w:sz w:val="32"/>
          <w:szCs w:val="32"/>
        </w:rPr>
        <w:t>，</w:t>
      </w:r>
      <w:r>
        <w:rPr>
          <w:rFonts w:hint="eastAsia" w:ascii="仿宋" w:hAnsi="仿宋" w:eastAsia="仿宋" w:cs="宋体"/>
          <w:sz w:val="32"/>
          <w:szCs w:val="32"/>
        </w:rPr>
        <w:t>降低</w:t>
      </w:r>
      <w:r>
        <w:rPr>
          <w:rFonts w:hint="eastAsia" w:ascii="仿宋" w:hAnsi="仿宋" w:eastAsia="仿宋" w:cs="___WRD_EMBED_SUB_39"/>
          <w:sz w:val="32"/>
          <w:szCs w:val="32"/>
        </w:rPr>
        <w:t>99.72</w:t>
      </w:r>
      <w:r>
        <w:rPr>
          <w:rFonts w:hint="eastAsia" w:ascii="仿宋" w:hAnsi="仿宋" w:eastAsia="仿宋" w:cs="DengXian-Regular"/>
          <w:sz w:val="32"/>
          <w:szCs w:val="32"/>
        </w:rPr>
        <w:t>%，</w:t>
      </w:r>
      <w:r>
        <w:rPr>
          <w:rFonts w:hint="eastAsia" w:ascii="仿宋" w:hAnsi="仿宋" w:eastAsia="仿宋" w:cs="宋体"/>
          <w:sz w:val="32"/>
          <w:szCs w:val="32"/>
        </w:rPr>
        <w:t>主</w:t>
      </w:r>
      <w:r>
        <w:rPr>
          <w:rFonts w:hint="eastAsia" w:ascii="仿宋" w:hAnsi="仿宋" w:eastAsia="仿宋" w:cs="___WRD_EMBED_SUB_39"/>
          <w:sz w:val="32"/>
          <w:szCs w:val="32"/>
        </w:rPr>
        <w:t>要</w:t>
      </w:r>
      <w:r>
        <w:rPr>
          <w:rFonts w:hint="eastAsia" w:ascii="仿宋" w:hAnsi="仿宋" w:eastAsia="仿宋" w:cs="宋体"/>
          <w:sz w:val="32"/>
          <w:szCs w:val="32"/>
        </w:rPr>
        <w:t>是</w:t>
      </w:r>
      <w:r>
        <w:rPr>
          <w:rFonts w:hint="eastAsia" w:ascii="仿宋" w:hAnsi="仿宋" w:eastAsia="仿宋" w:cs="DengXian-Regular"/>
          <w:sz w:val="32"/>
          <w:szCs w:val="32"/>
        </w:rPr>
        <w:t>减少荣昌街社区回购用房、税金及附加费用。</w:t>
      </w:r>
    </w:p>
    <w:p>
      <w:pPr>
        <w:adjustRightInd w:val="0"/>
        <w:snapToGrid w:val="0"/>
        <w:spacing w:after="0" w:line="240" w:lineRule="atLeast"/>
        <w:ind w:firstLine="640" w:firstLineChars="200"/>
        <w:rPr>
          <w:rFonts w:ascii="仿宋_GB2312" w:eastAsia="仿宋_GB2312" w:cs="DengXian-Regular"/>
          <w:sz w:val="32"/>
          <w:szCs w:val="32"/>
        </w:rPr>
      </w:pPr>
    </w:p>
    <w:p>
      <w:pPr>
        <w:adjustRightInd w:val="0"/>
        <w:snapToGrid w:val="0"/>
        <w:spacing w:after="0" w:line="240" w:lineRule="auto"/>
        <w:rPr>
          <w:rFonts w:ascii="仿宋_GB2312" w:eastAsia="仿宋_GB2312" w:cs="DengXian-Regular"/>
          <w:sz w:val="32"/>
          <w:szCs w:val="32"/>
        </w:rPr>
      </w:pPr>
    </w:p>
    <w:p>
      <w:pPr>
        <w:adjustRightInd w:val="0"/>
        <w:snapToGrid w:val="0"/>
        <w:spacing w:after="0" w:line="240" w:lineRule="auto"/>
        <w:rPr>
          <w:rFonts w:ascii="仿宋_GB2312" w:eastAsia="仿宋_GB2312" w:cs="DengXian-Regular"/>
          <w:sz w:val="32"/>
          <w:szCs w:val="32"/>
        </w:rPr>
      </w:pPr>
      <w:r>
        <w:rPr>
          <w:rFonts w:hint="eastAsia" w:ascii="仿宋_GB2312" w:eastAsia="仿宋_GB2312" w:cs="DengXian-Regular"/>
          <w:sz w:val="32"/>
          <w:szCs w:val="32"/>
        </w:rPr>
        <w:drawing>
          <wp:inline distT="0" distB="0" distL="0" distR="0">
            <wp:extent cx="5391150" cy="2781300"/>
            <wp:effectExtent l="0" t="0" r="0" b="0"/>
            <wp:docPr id="5"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adjustRightInd w:val="0"/>
        <w:snapToGrid w:val="0"/>
        <w:spacing w:after="0" w:line="580" w:lineRule="exact"/>
        <w:jc w:val="center"/>
        <w:rPr>
          <w:rFonts w:ascii="仿宋_GB2312" w:eastAsia="仿宋_GB2312" w:cs="DengXian-Regular"/>
          <w:sz w:val="32"/>
          <w:szCs w:val="32"/>
        </w:rPr>
      </w:pPr>
      <w:r>
        <w:rPr>
          <w:rFonts w:hint="eastAsia" w:eastAsia="仿宋_GB2312"/>
          <w:sz w:val="32"/>
          <w:szCs w:val="32"/>
        </w:rPr>
        <w:t>图3：财政拨款收支情况</w:t>
      </w:r>
    </w:p>
    <w:p>
      <w:pPr>
        <w:adjustRightInd w:val="0"/>
        <w:snapToGrid w:val="0"/>
        <w:spacing w:after="0" w:line="580" w:lineRule="exact"/>
        <w:rPr>
          <w:rFonts w:ascii="仿宋_GB2312" w:eastAsia="仿宋_GB2312" w:cs="DengXian-Regular"/>
          <w:sz w:val="32"/>
          <w:szCs w:val="32"/>
        </w:rPr>
      </w:pP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本部门2019年度财政拨款本年收入</w:t>
      </w:r>
      <w:r>
        <w:rPr>
          <w:rFonts w:hint="eastAsia" w:ascii="仿宋" w:hAnsi="仿宋" w:eastAsia="仿宋" w:cs="宋体"/>
          <w:sz w:val="32"/>
          <w:szCs w:val="32"/>
        </w:rPr>
        <w:t>3262.30</w:t>
      </w:r>
      <w:r>
        <w:rPr>
          <w:rFonts w:hint="eastAsia" w:ascii="仿宋" w:hAnsi="仿宋" w:eastAsia="仿宋" w:cs="DengXian-Regular"/>
          <w:sz w:val="32"/>
          <w:szCs w:val="32"/>
        </w:rPr>
        <w:t>万元，完成年初预算的82.46%,比年初预算减少693.8万元，决算数小于预算数，主要是老旧小区改造二期工程减少改造项目，预算相应减少；本年支出</w:t>
      </w:r>
      <w:r>
        <w:rPr>
          <w:rFonts w:hint="eastAsia" w:ascii="仿宋" w:hAnsi="仿宋" w:eastAsia="仿宋" w:cs="宋体"/>
          <w:sz w:val="32"/>
          <w:szCs w:val="32"/>
        </w:rPr>
        <w:t>3347.39</w:t>
      </w:r>
      <w:r>
        <w:rPr>
          <w:rFonts w:hint="eastAsia" w:ascii="仿宋" w:hAnsi="仿宋" w:eastAsia="仿宋" w:cs="DengXian-Regular"/>
          <w:sz w:val="32"/>
          <w:szCs w:val="32"/>
        </w:rPr>
        <w:t>万元，完成年初预算的84.61%,比年初预算减少608.71万元，决算数小于预算数，主要是老旧小区改造二期工程减少改造项目，支出相应减少。</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其中，一般公共预算财政拨款本年收入完成年初预算82.46%，比年初预算减少693.8万元，决算数小于预算数，主要是老旧小区改造二期工程减少改造项目，预算相应减少；支出完成年初预算84.51%，比年初预算减少612.71万元，决算数小于预算数，主要是</w:t>
      </w:r>
      <w:bookmarkStart w:id="0" w:name="_GoBack"/>
      <w:bookmarkEnd w:id="0"/>
      <w:r>
        <w:rPr>
          <w:rFonts w:hint="eastAsia" w:ascii="仿宋" w:hAnsi="仿宋" w:eastAsia="仿宋" w:cs="DengXian-Regular"/>
          <w:sz w:val="32"/>
          <w:szCs w:val="32"/>
        </w:rPr>
        <w:t>老旧小区改造二期工程减少改造项目，支出相应减少。政府性基金预算财政拨款本年没有收入；支出比年初预算增加4万元，决算数大于预算数，主要是提前下达2018年省级福利彩票公益金转移支付资金为2018年结转至2019年，并于2019年完全支出。</w:t>
      </w:r>
    </w:p>
    <w:p>
      <w:pPr>
        <w:adjustRightInd w:val="0"/>
        <w:snapToGrid w:val="0"/>
        <w:spacing w:after="0" w:line="580" w:lineRule="exact"/>
        <w:jc w:val="center"/>
        <w:rPr>
          <w:rFonts w:ascii="仿宋_GB2312" w:eastAsia="仿宋_GB2312" w:cs="DengXian-Regular"/>
          <w:sz w:val="24"/>
        </w:rPr>
      </w:pPr>
      <w:r>
        <w:rPr>
          <w:rFonts w:hint="eastAsia" w:eastAsia="仿宋_GB2312"/>
          <w:sz w:val="32"/>
          <w:szCs w:val="32"/>
        </w:rPr>
        <w:t>图4：财政拨款收支预决算对比情况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p>
    <w:p>
      <w:pPr>
        <w:adjustRightInd w:val="0"/>
        <w:snapToGrid w:val="0"/>
        <w:spacing w:after="0" w:line="240" w:lineRule="auto"/>
        <w:rPr>
          <w:rFonts w:ascii="仿宋_GB2312" w:eastAsia="仿宋_GB2312" w:cs="DengXian-Regular"/>
          <w:sz w:val="32"/>
          <w:szCs w:val="32"/>
          <w:highlight w:val="yellow"/>
        </w:rPr>
      </w:pPr>
      <w:r>
        <w:rPr>
          <w:rFonts w:hint="eastAsia" w:ascii="仿宋_GB2312" w:eastAsia="仿宋_GB2312" w:cs="DengXian-Regular"/>
          <w:sz w:val="32"/>
          <w:szCs w:val="32"/>
        </w:rPr>
        <w:drawing>
          <wp:inline distT="0" distB="0" distL="0" distR="0">
            <wp:extent cx="5486400" cy="3200400"/>
            <wp:effectExtent l="0" t="0" r="0" b="0"/>
            <wp:docPr id="6"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adjustRightInd w:val="0"/>
        <w:snapToGrid w:val="0"/>
        <w:spacing w:after="0" w:line="580" w:lineRule="exact"/>
        <w:rPr>
          <w:rFonts w:ascii="仿宋_GB2312" w:eastAsia="仿宋_GB2312" w:cs="DengXian-Regular"/>
          <w:sz w:val="32"/>
          <w:szCs w:val="32"/>
          <w:highlight w:val="yellow"/>
        </w:rPr>
      </w:pPr>
    </w:p>
    <w:p>
      <w:pPr>
        <w:numPr>
          <w:ilvl w:val="0"/>
          <w:numId w:val="1"/>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2019 年度财政拨款支出</w:t>
      </w:r>
      <w:r>
        <w:rPr>
          <w:rFonts w:hint="eastAsia" w:ascii="仿宋" w:hAnsi="仿宋" w:eastAsia="仿宋" w:cs="宋体"/>
          <w:sz w:val="32"/>
          <w:szCs w:val="32"/>
        </w:rPr>
        <w:t>3347.71</w:t>
      </w:r>
      <w:r>
        <w:rPr>
          <w:rFonts w:hint="eastAsia" w:ascii="仿宋" w:hAnsi="仿宋" w:eastAsia="仿宋" w:cs="DengXian-Regular"/>
          <w:sz w:val="32"/>
          <w:szCs w:val="32"/>
        </w:rPr>
        <w:t>万元，主要用于以下方面一般公共服务支出</w:t>
      </w:r>
      <w:r>
        <w:rPr>
          <w:rFonts w:hint="eastAsia" w:ascii="仿宋" w:hAnsi="仿宋" w:eastAsia="仿宋" w:cs="宋体"/>
          <w:sz w:val="32"/>
          <w:szCs w:val="32"/>
        </w:rPr>
        <w:t>887.14</w:t>
      </w:r>
      <w:r>
        <w:rPr>
          <w:rFonts w:hint="eastAsia" w:ascii="仿宋" w:hAnsi="仿宋" w:eastAsia="仿宋" w:cs="DengXian-Regular"/>
          <w:sz w:val="32"/>
          <w:szCs w:val="32"/>
        </w:rPr>
        <w:t>万元，占26.50%；文化体育与传媒支出3万元，占0.09%；社会保障和就业支出72.94万元，占2.18%；医疗卫生与计划生育支出14.80万元，占0.44%；城乡社区支出2340.95万元，占69.94%；住房保障支出24.55万元，占0.73%；其他支出4万元，占0.12%。</w:t>
      </w:r>
    </w:p>
    <w:p>
      <w:pPr>
        <w:adjustRightInd w:val="0"/>
        <w:snapToGrid w:val="0"/>
        <w:spacing w:after="0" w:line="580" w:lineRule="exact"/>
        <w:jc w:val="center"/>
        <w:rPr>
          <w:rFonts w:ascii="楷体_GB2312" w:eastAsia="楷体_GB2312" w:cs="DengXian-Bold"/>
          <w:b/>
          <w:bCs/>
          <w:sz w:val="32"/>
          <w:szCs w:val="32"/>
        </w:rPr>
      </w:pPr>
      <w:r>
        <w:rPr>
          <w:rFonts w:hint="eastAsia" w:eastAsia="仿宋_GB2312"/>
          <w:sz w:val="32"/>
          <w:szCs w:val="32"/>
        </w:rPr>
        <w:t>图5：财政拨款支出决算结构（按功能分类）</w:t>
      </w:r>
    </w:p>
    <w:p>
      <w:pPr>
        <w:adjustRightInd w:val="0"/>
        <w:snapToGrid w:val="0"/>
        <w:spacing w:after="0" w:line="580" w:lineRule="exact"/>
        <w:jc w:val="center"/>
        <w:rPr>
          <w:rFonts w:ascii="楷体_GB2312" w:eastAsia="楷体_GB2312" w:cs="DengXian-Bold"/>
          <w:b/>
          <w:bCs/>
          <w:sz w:val="32"/>
          <w:szCs w:val="32"/>
        </w:rPr>
      </w:pPr>
    </w:p>
    <w:p>
      <w:pPr>
        <w:adjustRightInd w:val="0"/>
        <w:snapToGrid w:val="0"/>
        <w:spacing w:after="0" w:line="240" w:lineRule="auto"/>
        <w:rPr>
          <w:rFonts w:ascii="楷体_GB2312" w:eastAsia="楷体_GB2312" w:cs="DengXian-Bold"/>
          <w:b/>
          <w:bCs/>
          <w:sz w:val="32"/>
          <w:szCs w:val="32"/>
        </w:rPr>
      </w:pPr>
      <w:r>
        <w:rPr>
          <w:rFonts w:hint="eastAsia" w:ascii="楷体_GB2312" w:eastAsia="楷体_GB2312" w:cs="DengXian-Bold"/>
          <w:b/>
          <w:bCs/>
          <w:sz w:val="32"/>
          <w:szCs w:val="32"/>
        </w:rPr>
        <w:drawing>
          <wp:inline distT="0" distB="0" distL="0" distR="0">
            <wp:extent cx="5686425" cy="3200400"/>
            <wp:effectExtent l="0" t="0" r="0" b="0"/>
            <wp:docPr id="7"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adjustRightInd w:val="0"/>
        <w:snapToGrid w:val="0"/>
        <w:spacing w:after="0" w:line="580" w:lineRule="exact"/>
        <w:rPr>
          <w:rFonts w:ascii="楷体_GB2312" w:eastAsia="楷体_GB2312" w:cs="DengXian-Bold"/>
          <w:b/>
          <w:bCs/>
          <w:sz w:val="32"/>
          <w:szCs w:val="32"/>
        </w:rPr>
      </w:pPr>
    </w:p>
    <w:p>
      <w:p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（四）一般公共预算财政拨款基本支出决算情况说明</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2019年度一般公共预算财政拨款基本支出574.82万元，其中：人员经费</w:t>
      </w:r>
      <w:r>
        <w:rPr>
          <w:rFonts w:hint="eastAsia" w:ascii="仿宋" w:hAnsi="仿宋" w:eastAsia="仿宋" w:cs="宋体"/>
          <w:sz w:val="32"/>
          <w:szCs w:val="32"/>
        </w:rPr>
        <w:t>485.86</w:t>
      </w:r>
      <w:r>
        <w:rPr>
          <w:rFonts w:hint="eastAsia" w:ascii="仿宋" w:hAnsi="仿宋" w:eastAsia="仿宋"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等；公用经费88.96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等。</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 经费支出决算情况说明</w:t>
      </w:r>
    </w:p>
    <w:p>
      <w:pPr>
        <w:adjustRightInd w:val="0"/>
        <w:snapToGrid w:val="0"/>
        <w:spacing w:line="584" w:lineRule="exact"/>
        <w:ind w:firstLine="640" w:firstLineChars="200"/>
        <w:rPr>
          <w:rFonts w:ascii="仿宋" w:hAnsi="仿宋" w:eastAsia="仿宋"/>
          <w:sz w:val="32"/>
          <w:szCs w:val="32"/>
          <w:highlight w:val="yellow"/>
        </w:rPr>
      </w:pPr>
      <w:r>
        <w:rPr>
          <w:rFonts w:ascii="仿宋" w:hAnsi="仿宋" w:eastAsia="仿宋"/>
          <w:sz w:val="32"/>
          <w:szCs w:val="32"/>
        </w:rPr>
        <w:t>本部门</w:t>
      </w:r>
      <w:r>
        <w:rPr>
          <w:rFonts w:hint="eastAsia" w:ascii="仿宋" w:hAnsi="仿宋" w:eastAsia="仿宋"/>
          <w:sz w:val="32"/>
          <w:szCs w:val="32"/>
        </w:rPr>
        <w:t>2019</w:t>
      </w:r>
      <w:r>
        <w:rPr>
          <w:rFonts w:ascii="仿宋" w:hAnsi="仿宋" w:eastAsia="仿宋"/>
          <w:sz w:val="32"/>
          <w:szCs w:val="32"/>
        </w:rPr>
        <w:t>年度一般公共预算财政拨款“三公”经费支出共计</w:t>
      </w:r>
      <w:r>
        <w:rPr>
          <w:rFonts w:hint="eastAsia" w:ascii="仿宋" w:hAnsi="仿宋" w:eastAsia="仿宋"/>
          <w:sz w:val="32"/>
          <w:szCs w:val="32"/>
        </w:rPr>
        <w:t>2.69</w:t>
      </w:r>
      <w:r>
        <w:rPr>
          <w:rFonts w:ascii="仿宋" w:hAnsi="仿宋" w:eastAsia="仿宋"/>
          <w:sz w:val="32"/>
          <w:szCs w:val="32"/>
        </w:rPr>
        <w:t>万元，</w:t>
      </w:r>
      <w:r>
        <w:rPr>
          <w:rFonts w:hint="eastAsia" w:ascii="仿宋" w:hAnsi="仿宋" w:eastAsia="仿宋"/>
          <w:sz w:val="32"/>
          <w:szCs w:val="32"/>
        </w:rPr>
        <w:t>比</w:t>
      </w:r>
      <w:r>
        <w:rPr>
          <w:rFonts w:ascii="仿宋" w:hAnsi="仿宋" w:eastAsia="仿宋"/>
          <w:sz w:val="32"/>
          <w:szCs w:val="32"/>
        </w:rPr>
        <w:t>年初预算减少</w:t>
      </w:r>
      <w:r>
        <w:rPr>
          <w:rFonts w:hint="eastAsia" w:ascii="仿宋" w:hAnsi="仿宋" w:eastAsia="仿宋"/>
          <w:sz w:val="32"/>
          <w:szCs w:val="32"/>
        </w:rPr>
        <w:t>2.41</w:t>
      </w:r>
      <w:r>
        <w:rPr>
          <w:rFonts w:ascii="仿宋" w:hAnsi="仿宋" w:eastAsia="仿宋"/>
          <w:sz w:val="32"/>
          <w:szCs w:val="32"/>
        </w:rPr>
        <w:t>万元，降低</w:t>
      </w:r>
      <w:r>
        <w:rPr>
          <w:rFonts w:hint="eastAsia" w:ascii="仿宋" w:hAnsi="仿宋" w:eastAsia="仿宋"/>
          <w:sz w:val="32"/>
          <w:szCs w:val="32"/>
        </w:rPr>
        <w:t>47.25</w:t>
      </w:r>
      <w:r>
        <w:rPr>
          <w:rFonts w:ascii="仿宋" w:hAnsi="仿宋" w:eastAsia="仿宋"/>
          <w:sz w:val="32"/>
          <w:szCs w:val="32"/>
        </w:rPr>
        <w:t>%，主要是</w:t>
      </w:r>
      <w:r>
        <w:rPr>
          <w:rFonts w:hint="eastAsia" w:ascii="仿宋" w:hAnsi="仿宋" w:eastAsia="仿宋"/>
          <w:sz w:val="32"/>
          <w:szCs w:val="32"/>
        </w:rPr>
        <w:t>公务接待年初预算0.1万元，实际2019年未产生公务接待费用，公务用车运行费比年初预算数减少2.31万元</w:t>
      </w:r>
      <w:r>
        <w:rPr>
          <w:rFonts w:ascii="仿宋" w:hAnsi="仿宋" w:eastAsia="仿宋"/>
          <w:sz w:val="32"/>
          <w:szCs w:val="32"/>
        </w:rPr>
        <w:t>；</w:t>
      </w:r>
      <w:r>
        <w:rPr>
          <w:rFonts w:hint="eastAsia" w:ascii="仿宋" w:hAnsi="仿宋" w:eastAsia="仿宋"/>
          <w:sz w:val="32"/>
          <w:szCs w:val="32"/>
        </w:rPr>
        <w:t>比2018</w:t>
      </w:r>
      <w:r>
        <w:rPr>
          <w:rFonts w:ascii="仿宋" w:hAnsi="仿宋" w:eastAsia="仿宋"/>
          <w:sz w:val="32"/>
          <w:szCs w:val="32"/>
        </w:rPr>
        <w:t>年度决算减少</w:t>
      </w:r>
      <w:r>
        <w:rPr>
          <w:rFonts w:hint="eastAsia" w:ascii="仿宋" w:hAnsi="仿宋" w:eastAsia="仿宋"/>
          <w:sz w:val="32"/>
          <w:szCs w:val="32"/>
        </w:rPr>
        <w:t>9.72</w:t>
      </w:r>
      <w:r>
        <w:rPr>
          <w:rFonts w:ascii="仿宋" w:hAnsi="仿宋" w:eastAsia="仿宋"/>
          <w:sz w:val="32"/>
          <w:szCs w:val="32"/>
        </w:rPr>
        <w:t>万元，降低</w:t>
      </w:r>
      <w:r>
        <w:rPr>
          <w:rFonts w:hint="eastAsia" w:ascii="仿宋" w:hAnsi="仿宋" w:eastAsia="仿宋"/>
          <w:sz w:val="32"/>
          <w:szCs w:val="32"/>
        </w:rPr>
        <w:t>78.32</w:t>
      </w:r>
      <w:r>
        <w:rPr>
          <w:rFonts w:ascii="仿宋" w:hAnsi="仿宋" w:eastAsia="仿宋"/>
          <w:sz w:val="32"/>
          <w:szCs w:val="32"/>
        </w:rPr>
        <w:t>%，主要是</w:t>
      </w:r>
      <w:r>
        <w:rPr>
          <w:rFonts w:hint="eastAsia" w:ascii="仿宋" w:hAnsi="仿宋" w:eastAsia="仿宋"/>
          <w:sz w:val="32"/>
          <w:szCs w:val="32"/>
        </w:rPr>
        <w:t>2018新购置一辆公务用车，公务用车运行费增加，2019年未新购置车辆</w:t>
      </w:r>
      <w:r>
        <w:rPr>
          <w:rFonts w:ascii="仿宋" w:hAnsi="仿宋" w:eastAsia="仿宋"/>
          <w:sz w:val="32"/>
          <w:szCs w:val="32"/>
        </w:rPr>
        <w:t>。具体情况如下：</w:t>
      </w:r>
    </w:p>
    <w:p>
      <w:pPr>
        <w:adjustRightInd w:val="0"/>
        <w:snapToGrid w:val="0"/>
        <w:spacing w:line="584" w:lineRule="exact"/>
        <w:ind w:firstLine="643" w:firstLineChars="200"/>
        <w:rPr>
          <w:rFonts w:ascii="仿宋" w:hAnsi="仿宋" w:eastAsia="仿宋" w:cs="DengXian-Regular"/>
          <w:sz w:val="32"/>
          <w:szCs w:val="32"/>
        </w:rPr>
      </w:pPr>
      <w:r>
        <w:rPr>
          <w:rFonts w:eastAsia="楷体_GB2312"/>
          <w:b/>
          <w:bCs/>
          <w:sz w:val="32"/>
          <w:szCs w:val="32"/>
        </w:rPr>
        <w:t>（一）因公出国（境）费支出</w:t>
      </w:r>
      <w:r>
        <w:rPr>
          <w:rFonts w:hint="eastAsia" w:eastAsia="楷体_GB2312"/>
          <w:b/>
          <w:bCs/>
          <w:sz w:val="32"/>
          <w:szCs w:val="32"/>
        </w:rPr>
        <w:t>0</w:t>
      </w:r>
      <w:r>
        <w:rPr>
          <w:rFonts w:eastAsia="楷体_GB2312"/>
          <w:b/>
          <w:bCs/>
          <w:sz w:val="32"/>
          <w:szCs w:val="32"/>
        </w:rPr>
        <w:t>万元。</w:t>
      </w:r>
      <w:r>
        <w:rPr>
          <w:rFonts w:ascii="仿宋" w:hAnsi="仿宋" w:eastAsia="仿宋"/>
          <w:sz w:val="32"/>
          <w:szCs w:val="32"/>
        </w:rPr>
        <w:t>本部门201</w:t>
      </w:r>
      <w:r>
        <w:rPr>
          <w:rFonts w:hint="eastAsia" w:ascii="仿宋" w:hAnsi="仿宋" w:eastAsia="仿宋"/>
          <w:sz w:val="32"/>
          <w:szCs w:val="32"/>
        </w:rPr>
        <w:t>9</w:t>
      </w:r>
      <w:r>
        <w:rPr>
          <w:rFonts w:ascii="仿宋" w:hAnsi="仿宋" w:eastAsia="仿宋"/>
          <w:sz w:val="32"/>
          <w:szCs w:val="32"/>
        </w:rPr>
        <w:t>年度</w:t>
      </w:r>
      <w:r>
        <w:rPr>
          <w:rFonts w:hint="eastAsia" w:ascii="仿宋" w:hAnsi="仿宋" w:eastAsia="仿宋" w:cs="DengXian-Regular"/>
          <w:sz w:val="32"/>
          <w:szCs w:val="32"/>
        </w:rPr>
        <w:t>因公出国（境）团组0个，共0人/参加其他单位组织的因公出国（境）团组0个，共0人/无本单位组织的出国（境）团组，</w:t>
      </w:r>
      <w:r>
        <w:rPr>
          <w:rFonts w:ascii="仿宋" w:hAnsi="仿宋" w:eastAsia="仿宋"/>
          <w:color w:val="000000"/>
          <w:sz w:val="32"/>
          <w:szCs w:val="32"/>
        </w:rPr>
        <w:t>较年初预算无增减变化、较201</w:t>
      </w:r>
      <w:r>
        <w:rPr>
          <w:rFonts w:hint="eastAsia" w:ascii="仿宋" w:hAnsi="仿宋" w:eastAsia="仿宋"/>
          <w:color w:val="000000"/>
          <w:sz w:val="32"/>
          <w:szCs w:val="32"/>
        </w:rPr>
        <w:t>8</w:t>
      </w:r>
      <w:r>
        <w:rPr>
          <w:rFonts w:ascii="仿宋" w:hAnsi="仿宋" w:eastAsia="仿宋"/>
          <w:color w:val="000000"/>
          <w:sz w:val="32"/>
          <w:szCs w:val="32"/>
        </w:rPr>
        <w:t>年度决算无增减变化。</w:t>
      </w:r>
    </w:p>
    <w:p>
      <w:pPr>
        <w:adjustRightInd w:val="0"/>
        <w:snapToGrid w:val="0"/>
        <w:spacing w:line="584" w:lineRule="exact"/>
        <w:ind w:firstLine="643" w:firstLineChars="200"/>
        <w:rPr>
          <w:rFonts w:ascii="仿宋" w:hAnsi="仿宋" w:eastAsia="仿宋"/>
          <w:sz w:val="32"/>
          <w:szCs w:val="32"/>
        </w:rPr>
      </w:pPr>
      <w:r>
        <w:rPr>
          <w:rFonts w:eastAsia="楷体_GB2312"/>
          <w:b/>
          <w:bCs/>
          <w:sz w:val="32"/>
          <w:szCs w:val="32"/>
        </w:rPr>
        <w:t>（二）公务用车购置及运行维护费支出</w:t>
      </w:r>
      <w:r>
        <w:rPr>
          <w:rFonts w:hint="eastAsia" w:eastAsia="楷体_GB2312"/>
          <w:b/>
          <w:bCs/>
          <w:sz w:val="32"/>
          <w:szCs w:val="32"/>
        </w:rPr>
        <w:t>2.69</w:t>
      </w:r>
      <w:r>
        <w:rPr>
          <w:rFonts w:eastAsia="楷体_GB2312"/>
          <w:b/>
          <w:bCs/>
          <w:sz w:val="32"/>
          <w:szCs w:val="32"/>
        </w:rPr>
        <w:t>万元。</w:t>
      </w:r>
      <w:r>
        <w:rPr>
          <w:rFonts w:hint="eastAsia" w:ascii="仿宋" w:hAnsi="仿宋" w:eastAsia="仿宋" w:cs="DengXian-Regular"/>
          <w:sz w:val="32"/>
          <w:szCs w:val="32"/>
        </w:rPr>
        <w:t>本部门2019年度公务用车购置及运行维护费比年初预算</w:t>
      </w:r>
      <w:r>
        <w:rPr>
          <w:rFonts w:ascii="仿宋" w:hAnsi="仿宋" w:eastAsia="仿宋"/>
          <w:sz w:val="32"/>
          <w:szCs w:val="32"/>
        </w:rPr>
        <w:t>减少</w:t>
      </w:r>
      <w:r>
        <w:rPr>
          <w:rFonts w:hint="eastAsia" w:ascii="仿宋" w:hAnsi="仿宋" w:eastAsia="仿宋"/>
          <w:sz w:val="32"/>
          <w:szCs w:val="32"/>
        </w:rPr>
        <w:t>2.31</w:t>
      </w:r>
      <w:r>
        <w:rPr>
          <w:rFonts w:ascii="仿宋" w:hAnsi="仿宋" w:eastAsia="仿宋"/>
          <w:sz w:val="32"/>
          <w:szCs w:val="32"/>
        </w:rPr>
        <w:t>万元，降低</w:t>
      </w:r>
      <w:r>
        <w:rPr>
          <w:rFonts w:hint="eastAsia" w:ascii="仿宋" w:hAnsi="仿宋" w:eastAsia="仿宋"/>
          <w:sz w:val="32"/>
          <w:szCs w:val="32"/>
        </w:rPr>
        <w:t>47.25</w:t>
      </w:r>
      <w:r>
        <w:rPr>
          <w:rFonts w:ascii="仿宋" w:hAnsi="仿宋" w:eastAsia="仿宋"/>
          <w:sz w:val="32"/>
          <w:szCs w:val="32"/>
        </w:rPr>
        <w:t>%</w:t>
      </w:r>
      <w:r>
        <w:rPr>
          <w:rFonts w:hint="eastAsia" w:ascii="仿宋" w:hAnsi="仿宋" w:eastAsia="仿宋" w:cs="DengXian-Regular"/>
          <w:sz w:val="32"/>
          <w:szCs w:val="32"/>
        </w:rPr>
        <w:t>，主要是公车出行减少，故障情况减少，油费及维修费降低；</w:t>
      </w:r>
      <w:r>
        <w:rPr>
          <w:rFonts w:hint="eastAsia" w:ascii="仿宋" w:hAnsi="仿宋" w:eastAsia="仿宋"/>
          <w:sz w:val="32"/>
          <w:szCs w:val="32"/>
        </w:rPr>
        <w:t>比2018</w:t>
      </w:r>
      <w:r>
        <w:rPr>
          <w:rFonts w:ascii="仿宋" w:hAnsi="仿宋" w:eastAsia="仿宋"/>
          <w:sz w:val="32"/>
          <w:szCs w:val="32"/>
        </w:rPr>
        <w:t>年度决算减少</w:t>
      </w:r>
      <w:r>
        <w:rPr>
          <w:rFonts w:hint="eastAsia" w:ascii="仿宋" w:hAnsi="仿宋" w:eastAsia="仿宋"/>
          <w:sz w:val="32"/>
          <w:szCs w:val="32"/>
        </w:rPr>
        <w:t>9.72</w:t>
      </w:r>
      <w:r>
        <w:rPr>
          <w:rFonts w:ascii="仿宋" w:hAnsi="仿宋" w:eastAsia="仿宋"/>
          <w:sz w:val="32"/>
          <w:szCs w:val="32"/>
        </w:rPr>
        <w:t>万元，降低</w:t>
      </w:r>
      <w:r>
        <w:rPr>
          <w:rFonts w:hint="eastAsia" w:ascii="仿宋" w:hAnsi="仿宋" w:eastAsia="仿宋"/>
          <w:sz w:val="32"/>
          <w:szCs w:val="32"/>
        </w:rPr>
        <w:t>78.32</w:t>
      </w:r>
      <w:r>
        <w:rPr>
          <w:rFonts w:ascii="仿宋" w:hAnsi="仿宋" w:eastAsia="仿宋"/>
          <w:sz w:val="32"/>
          <w:szCs w:val="32"/>
        </w:rPr>
        <w:t>%，主要是</w:t>
      </w:r>
      <w:r>
        <w:rPr>
          <w:rFonts w:hint="eastAsia" w:ascii="仿宋" w:hAnsi="仿宋" w:eastAsia="仿宋"/>
          <w:sz w:val="32"/>
          <w:szCs w:val="32"/>
        </w:rPr>
        <w:t>2018新购置一辆公务用车，公务用车运行费增加，2019年未新购置车辆</w:t>
      </w:r>
      <w:r>
        <w:rPr>
          <w:rFonts w:ascii="仿宋" w:hAnsi="仿宋" w:eastAsia="仿宋"/>
          <w:sz w:val="32"/>
          <w:szCs w:val="32"/>
        </w:rPr>
        <w:t>。</w:t>
      </w:r>
    </w:p>
    <w:p>
      <w:pPr>
        <w:adjustRightInd w:val="0"/>
        <w:snapToGrid w:val="0"/>
        <w:spacing w:line="584" w:lineRule="exact"/>
        <w:ind w:firstLine="643" w:firstLineChars="200"/>
        <w:rPr>
          <w:rFonts w:ascii="宋体" w:hAnsi="宋体" w:cs="宋体"/>
          <w:b/>
          <w:bCs/>
          <w:sz w:val="32"/>
          <w:szCs w:val="32"/>
        </w:rPr>
      </w:pPr>
      <w:r>
        <w:rPr>
          <w:rFonts w:hint="eastAsia" w:eastAsia="楷体_GB2312"/>
          <w:b/>
          <w:bCs/>
          <w:sz w:val="32"/>
          <w:szCs w:val="32"/>
        </w:rPr>
        <w:t>其中</w:t>
      </w:r>
      <w:r>
        <w:rPr>
          <w:rFonts w:hint="eastAsia" w:ascii="宋体" w:hAnsi="宋体" w:cs="宋体"/>
          <w:b/>
          <w:bCs/>
          <w:sz w:val="32"/>
          <w:szCs w:val="32"/>
        </w:rPr>
        <w:t>：</w:t>
      </w:r>
    </w:p>
    <w:p>
      <w:pPr>
        <w:adjustRightInd w:val="0"/>
        <w:snapToGrid w:val="0"/>
        <w:spacing w:line="584" w:lineRule="exact"/>
        <w:ind w:firstLine="643" w:firstLineChars="200"/>
        <w:rPr>
          <w:rFonts w:ascii="仿宋" w:hAnsi="仿宋" w:eastAsia="仿宋"/>
          <w:sz w:val="32"/>
          <w:szCs w:val="32"/>
          <w:highlight w:val="yellow"/>
        </w:rPr>
      </w:pPr>
      <w:r>
        <w:rPr>
          <w:rFonts w:eastAsia="楷体_GB2312"/>
          <w:b/>
          <w:bCs/>
          <w:sz w:val="32"/>
          <w:szCs w:val="32"/>
        </w:rPr>
        <w:t>公务用车购置费支出</w:t>
      </w:r>
      <w:r>
        <w:rPr>
          <w:rFonts w:hint="eastAsia" w:eastAsia="楷体_GB2312"/>
          <w:b/>
          <w:bCs/>
          <w:sz w:val="32"/>
          <w:szCs w:val="32"/>
        </w:rPr>
        <w:t>0</w:t>
      </w:r>
      <w:r>
        <w:rPr>
          <w:rFonts w:eastAsia="楷体_GB2312"/>
          <w:b/>
          <w:bCs/>
          <w:sz w:val="32"/>
          <w:szCs w:val="32"/>
        </w:rPr>
        <w:t>万元。</w:t>
      </w:r>
      <w:r>
        <w:rPr>
          <w:rFonts w:ascii="仿宋" w:hAnsi="仿宋" w:eastAsia="仿宋"/>
          <w:sz w:val="32"/>
          <w:szCs w:val="32"/>
        </w:rPr>
        <w:t>本部门</w:t>
      </w:r>
      <w:r>
        <w:rPr>
          <w:rFonts w:hint="eastAsia" w:ascii="仿宋" w:hAnsi="仿宋" w:eastAsia="仿宋"/>
          <w:sz w:val="32"/>
          <w:szCs w:val="32"/>
        </w:rPr>
        <w:t>2019</w:t>
      </w:r>
      <w:r>
        <w:rPr>
          <w:rFonts w:ascii="仿宋" w:hAnsi="仿宋" w:eastAsia="仿宋"/>
          <w:sz w:val="32"/>
          <w:szCs w:val="32"/>
        </w:rPr>
        <w:t>年度公务用车购置数量</w:t>
      </w:r>
      <w:r>
        <w:rPr>
          <w:rFonts w:hint="eastAsia" w:ascii="仿宋" w:hAnsi="仿宋" w:eastAsia="仿宋"/>
          <w:sz w:val="32"/>
          <w:szCs w:val="32"/>
        </w:rPr>
        <w:t>0</w:t>
      </w:r>
      <w:r>
        <w:rPr>
          <w:rFonts w:ascii="仿宋" w:hAnsi="仿宋" w:eastAsia="仿宋"/>
          <w:sz w:val="32"/>
          <w:szCs w:val="32"/>
        </w:rPr>
        <w:t>辆。</w:t>
      </w:r>
      <w:r>
        <w:rPr>
          <w:rFonts w:ascii="仿宋" w:hAnsi="仿宋" w:eastAsia="仿宋"/>
          <w:color w:val="000000"/>
          <w:sz w:val="32"/>
          <w:szCs w:val="32"/>
        </w:rPr>
        <w:t>较年初预算无增减变化</w:t>
      </w:r>
      <w:r>
        <w:rPr>
          <w:rFonts w:hint="eastAsia" w:ascii="仿宋" w:hAnsi="仿宋" w:eastAsia="仿宋"/>
          <w:color w:val="000000"/>
          <w:sz w:val="32"/>
          <w:szCs w:val="32"/>
        </w:rPr>
        <w:t>。</w:t>
      </w:r>
      <w:r>
        <w:rPr>
          <w:rFonts w:hint="eastAsia" w:ascii="仿宋" w:hAnsi="仿宋" w:eastAsia="仿宋"/>
          <w:sz w:val="32"/>
          <w:szCs w:val="32"/>
        </w:rPr>
        <w:t>比2018</w:t>
      </w:r>
      <w:r>
        <w:rPr>
          <w:rFonts w:ascii="仿宋" w:hAnsi="仿宋" w:eastAsia="仿宋"/>
          <w:sz w:val="32"/>
          <w:szCs w:val="32"/>
        </w:rPr>
        <w:t>年度决算减少</w:t>
      </w:r>
      <w:r>
        <w:rPr>
          <w:rFonts w:hint="eastAsia" w:ascii="仿宋" w:hAnsi="仿宋" w:eastAsia="仿宋"/>
          <w:sz w:val="32"/>
          <w:szCs w:val="32"/>
        </w:rPr>
        <w:t>7.81</w:t>
      </w:r>
      <w:r>
        <w:rPr>
          <w:rFonts w:ascii="仿宋" w:hAnsi="仿宋" w:eastAsia="仿宋"/>
          <w:sz w:val="32"/>
          <w:szCs w:val="32"/>
        </w:rPr>
        <w:t>万元，降低</w:t>
      </w:r>
      <w:r>
        <w:rPr>
          <w:rFonts w:hint="eastAsia" w:ascii="仿宋" w:hAnsi="仿宋" w:eastAsia="仿宋"/>
          <w:sz w:val="32"/>
          <w:szCs w:val="32"/>
        </w:rPr>
        <w:t>100</w:t>
      </w:r>
      <w:r>
        <w:rPr>
          <w:rFonts w:ascii="仿宋" w:hAnsi="仿宋" w:eastAsia="仿宋"/>
          <w:sz w:val="32"/>
          <w:szCs w:val="32"/>
        </w:rPr>
        <w:t>%，主要是</w:t>
      </w:r>
      <w:r>
        <w:rPr>
          <w:rFonts w:hint="eastAsia" w:ascii="仿宋" w:hAnsi="仿宋" w:eastAsia="仿宋"/>
          <w:sz w:val="32"/>
          <w:szCs w:val="32"/>
        </w:rPr>
        <w:t>2019年度未购置新车</w:t>
      </w:r>
      <w:r>
        <w:rPr>
          <w:rFonts w:ascii="仿宋" w:hAnsi="仿宋" w:eastAsia="仿宋"/>
          <w:sz w:val="32"/>
          <w:szCs w:val="32"/>
        </w:rPr>
        <w:t>。</w:t>
      </w:r>
    </w:p>
    <w:p>
      <w:pPr>
        <w:adjustRightInd w:val="0"/>
        <w:snapToGrid w:val="0"/>
        <w:spacing w:line="584" w:lineRule="exact"/>
        <w:ind w:firstLine="643" w:firstLineChars="200"/>
        <w:rPr>
          <w:rFonts w:ascii="仿宋" w:hAnsi="仿宋" w:eastAsia="仿宋"/>
          <w:sz w:val="32"/>
          <w:szCs w:val="32"/>
        </w:rPr>
      </w:pPr>
      <w:r>
        <w:rPr>
          <w:rFonts w:eastAsia="楷体_GB2312"/>
          <w:b/>
          <w:bCs/>
          <w:sz w:val="32"/>
          <w:szCs w:val="32"/>
        </w:rPr>
        <w:t>公务用车运行维护费支出</w:t>
      </w:r>
      <w:r>
        <w:rPr>
          <w:rFonts w:hint="eastAsia" w:eastAsia="楷体_GB2312"/>
          <w:b/>
          <w:bCs/>
          <w:sz w:val="32"/>
          <w:szCs w:val="32"/>
        </w:rPr>
        <w:t>2.69</w:t>
      </w:r>
      <w:r>
        <w:rPr>
          <w:rFonts w:eastAsia="楷体_GB2312"/>
          <w:b/>
          <w:bCs/>
          <w:sz w:val="32"/>
          <w:szCs w:val="32"/>
        </w:rPr>
        <w:t>万元。</w:t>
      </w:r>
      <w:r>
        <w:rPr>
          <w:rFonts w:ascii="仿宋" w:hAnsi="仿宋" w:eastAsia="仿宋"/>
          <w:sz w:val="32"/>
          <w:szCs w:val="32"/>
        </w:rPr>
        <w:t>本部门</w:t>
      </w:r>
      <w:r>
        <w:rPr>
          <w:rFonts w:hint="eastAsia" w:ascii="仿宋" w:hAnsi="仿宋" w:eastAsia="仿宋"/>
          <w:sz w:val="32"/>
          <w:szCs w:val="32"/>
        </w:rPr>
        <w:t>2019</w:t>
      </w:r>
      <w:r>
        <w:rPr>
          <w:rFonts w:ascii="仿宋" w:hAnsi="仿宋" w:eastAsia="仿宋"/>
          <w:sz w:val="32"/>
          <w:szCs w:val="32"/>
        </w:rPr>
        <w:t>年末单位公务用车保有量</w:t>
      </w:r>
      <w:r>
        <w:rPr>
          <w:rFonts w:hint="eastAsia" w:ascii="仿宋" w:hAnsi="仿宋" w:eastAsia="仿宋"/>
          <w:sz w:val="32"/>
          <w:szCs w:val="32"/>
        </w:rPr>
        <w:t>2</w:t>
      </w:r>
      <w:r>
        <w:rPr>
          <w:rFonts w:ascii="仿宋" w:hAnsi="仿宋" w:eastAsia="仿宋"/>
          <w:sz w:val="32"/>
          <w:szCs w:val="32"/>
        </w:rPr>
        <w:t>辆。公车运行维护费支出</w:t>
      </w:r>
      <w:r>
        <w:rPr>
          <w:rFonts w:hint="eastAsia" w:ascii="仿宋" w:hAnsi="仿宋" w:eastAsia="仿宋"/>
          <w:sz w:val="32"/>
          <w:szCs w:val="32"/>
        </w:rPr>
        <w:t>比</w:t>
      </w:r>
      <w:r>
        <w:rPr>
          <w:rFonts w:ascii="仿宋" w:hAnsi="仿宋" w:eastAsia="仿宋"/>
          <w:sz w:val="32"/>
          <w:szCs w:val="32"/>
        </w:rPr>
        <w:t>年初预算减少</w:t>
      </w:r>
      <w:r>
        <w:rPr>
          <w:rFonts w:hint="eastAsia" w:ascii="仿宋" w:hAnsi="仿宋" w:eastAsia="仿宋"/>
          <w:sz w:val="32"/>
          <w:szCs w:val="32"/>
        </w:rPr>
        <w:t>2.31</w:t>
      </w:r>
      <w:r>
        <w:rPr>
          <w:rFonts w:ascii="仿宋" w:hAnsi="仿宋" w:eastAsia="仿宋"/>
          <w:sz w:val="32"/>
          <w:szCs w:val="32"/>
        </w:rPr>
        <w:t>万元，降低</w:t>
      </w:r>
      <w:r>
        <w:rPr>
          <w:rFonts w:hint="eastAsia" w:ascii="仿宋" w:hAnsi="仿宋" w:eastAsia="仿宋"/>
          <w:sz w:val="32"/>
          <w:szCs w:val="32"/>
        </w:rPr>
        <w:t>47.25</w:t>
      </w:r>
      <w:r>
        <w:rPr>
          <w:rFonts w:ascii="仿宋" w:hAnsi="仿宋" w:eastAsia="仿宋"/>
          <w:sz w:val="32"/>
          <w:szCs w:val="32"/>
        </w:rPr>
        <w:t>%</w:t>
      </w:r>
      <w:r>
        <w:rPr>
          <w:rFonts w:hint="eastAsia" w:ascii="仿宋" w:hAnsi="仿宋" w:eastAsia="仿宋" w:cs="DengXian-Regular"/>
          <w:sz w:val="32"/>
          <w:szCs w:val="32"/>
        </w:rPr>
        <w:t>，主要是公车出行减少，故障情况减少，油费及维修费降低；</w:t>
      </w:r>
      <w:r>
        <w:rPr>
          <w:rFonts w:hint="eastAsia" w:ascii="仿宋" w:hAnsi="仿宋" w:eastAsia="仿宋"/>
          <w:sz w:val="32"/>
          <w:szCs w:val="32"/>
        </w:rPr>
        <w:t>比2018</w:t>
      </w:r>
      <w:r>
        <w:rPr>
          <w:rFonts w:ascii="仿宋" w:hAnsi="仿宋" w:eastAsia="仿宋"/>
          <w:sz w:val="32"/>
          <w:szCs w:val="32"/>
        </w:rPr>
        <w:t>年度决算减少</w:t>
      </w:r>
      <w:r>
        <w:rPr>
          <w:rFonts w:hint="eastAsia" w:ascii="仿宋" w:hAnsi="仿宋" w:eastAsia="仿宋"/>
          <w:sz w:val="32"/>
          <w:szCs w:val="32"/>
        </w:rPr>
        <w:t>1.92</w:t>
      </w:r>
      <w:r>
        <w:rPr>
          <w:rFonts w:ascii="仿宋" w:hAnsi="仿宋" w:eastAsia="仿宋"/>
          <w:sz w:val="32"/>
          <w:szCs w:val="32"/>
        </w:rPr>
        <w:t>万元，降低</w:t>
      </w:r>
      <w:r>
        <w:rPr>
          <w:rFonts w:hint="eastAsia" w:ascii="仿宋" w:hAnsi="仿宋" w:eastAsia="仿宋"/>
          <w:sz w:val="32"/>
          <w:szCs w:val="32"/>
        </w:rPr>
        <w:t>41.65</w:t>
      </w:r>
      <w:r>
        <w:rPr>
          <w:rFonts w:ascii="仿宋" w:hAnsi="仿宋" w:eastAsia="仿宋"/>
          <w:sz w:val="32"/>
          <w:szCs w:val="32"/>
        </w:rPr>
        <w:t>%，主要是</w:t>
      </w:r>
      <w:r>
        <w:rPr>
          <w:rFonts w:hint="eastAsia" w:ascii="仿宋" w:hAnsi="仿宋" w:eastAsia="仿宋"/>
          <w:sz w:val="32"/>
          <w:szCs w:val="32"/>
        </w:rPr>
        <w:t>2018新购置一辆公务用车，公务用车运行费增加，2019年未新购置车辆</w:t>
      </w:r>
      <w:r>
        <w:rPr>
          <w:rFonts w:ascii="仿宋" w:hAnsi="仿宋" w:eastAsia="仿宋"/>
          <w:sz w:val="32"/>
          <w:szCs w:val="32"/>
        </w:rPr>
        <w:t>。</w:t>
      </w:r>
    </w:p>
    <w:p>
      <w:pPr>
        <w:adjustRightInd w:val="0"/>
        <w:snapToGrid w:val="0"/>
        <w:spacing w:line="584" w:lineRule="exact"/>
        <w:ind w:firstLine="643" w:firstLineChars="200"/>
        <w:rPr>
          <w:rFonts w:ascii="仿宋" w:hAnsi="仿宋" w:eastAsia="仿宋" w:cs="DengXian-Regular"/>
          <w:sz w:val="32"/>
          <w:szCs w:val="32"/>
        </w:rPr>
      </w:pPr>
      <w:r>
        <w:rPr>
          <w:rFonts w:eastAsia="楷体_GB2312"/>
          <w:b/>
          <w:bCs/>
          <w:sz w:val="32"/>
          <w:szCs w:val="32"/>
        </w:rPr>
        <w:t>（三）公务接待费支出</w:t>
      </w:r>
      <w:r>
        <w:rPr>
          <w:rFonts w:hint="eastAsia" w:eastAsia="楷体_GB2312"/>
          <w:b/>
          <w:bCs/>
          <w:sz w:val="32"/>
          <w:szCs w:val="32"/>
        </w:rPr>
        <w:t>0</w:t>
      </w:r>
      <w:r>
        <w:rPr>
          <w:rFonts w:eastAsia="楷体_GB2312"/>
          <w:b/>
          <w:bCs/>
          <w:sz w:val="32"/>
          <w:szCs w:val="32"/>
        </w:rPr>
        <w:t>万元。</w:t>
      </w:r>
      <w:r>
        <w:rPr>
          <w:rFonts w:ascii="仿宋" w:hAnsi="仿宋" w:eastAsia="仿宋"/>
          <w:sz w:val="32"/>
          <w:szCs w:val="32"/>
        </w:rPr>
        <w:t>本部门201</w:t>
      </w:r>
      <w:r>
        <w:rPr>
          <w:rFonts w:hint="eastAsia" w:ascii="仿宋" w:hAnsi="仿宋" w:eastAsia="仿宋"/>
          <w:sz w:val="32"/>
          <w:szCs w:val="32"/>
        </w:rPr>
        <w:t>9</w:t>
      </w:r>
      <w:r>
        <w:rPr>
          <w:rFonts w:ascii="仿宋" w:hAnsi="仿宋" w:eastAsia="仿宋"/>
          <w:sz w:val="32"/>
          <w:szCs w:val="32"/>
        </w:rPr>
        <w:t>年度</w:t>
      </w:r>
      <w:r>
        <w:rPr>
          <w:rFonts w:hint="eastAsia" w:ascii="仿宋" w:hAnsi="仿宋" w:eastAsia="仿宋"/>
          <w:sz w:val="32"/>
          <w:szCs w:val="32"/>
        </w:rPr>
        <w:t>未发生</w:t>
      </w:r>
      <w:r>
        <w:rPr>
          <w:rFonts w:ascii="仿宋" w:hAnsi="仿宋" w:eastAsia="仿宋"/>
          <w:sz w:val="32"/>
          <w:szCs w:val="32"/>
        </w:rPr>
        <w:t>公务接待。公务接待费支出</w:t>
      </w:r>
      <w:r>
        <w:rPr>
          <w:rFonts w:hint="eastAsia" w:ascii="仿宋" w:hAnsi="仿宋" w:eastAsia="仿宋"/>
          <w:sz w:val="32"/>
          <w:szCs w:val="32"/>
        </w:rPr>
        <w:t>比</w:t>
      </w:r>
      <w:r>
        <w:rPr>
          <w:rFonts w:ascii="仿宋" w:hAnsi="仿宋" w:eastAsia="仿宋"/>
          <w:sz w:val="32"/>
          <w:szCs w:val="32"/>
        </w:rPr>
        <w:t>年初预算减少</w:t>
      </w:r>
      <w:r>
        <w:rPr>
          <w:rFonts w:hint="eastAsia" w:ascii="仿宋" w:hAnsi="仿宋" w:eastAsia="仿宋"/>
          <w:sz w:val="32"/>
          <w:szCs w:val="32"/>
        </w:rPr>
        <w:t>0.1</w:t>
      </w:r>
      <w:r>
        <w:rPr>
          <w:rFonts w:ascii="仿宋" w:hAnsi="仿宋" w:eastAsia="仿宋"/>
          <w:sz w:val="32"/>
          <w:szCs w:val="32"/>
        </w:rPr>
        <w:t>万元，降低</w:t>
      </w:r>
      <w:r>
        <w:rPr>
          <w:rFonts w:hint="eastAsia" w:ascii="仿宋" w:hAnsi="仿宋" w:eastAsia="仿宋"/>
          <w:sz w:val="32"/>
          <w:szCs w:val="32"/>
        </w:rPr>
        <w:t>100</w:t>
      </w:r>
      <w:r>
        <w:rPr>
          <w:rFonts w:ascii="仿宋" w:hAnsi="仿宋" w:eastAsia="仿宋"/>
          <w:sz w:val="32"/>
          <w:szCs w:val="32"/>
        </w:rPr>
        <w:t>%，主要是</w:t>
      </w:r>
      <w:r>
        <w:rPr>
          <w:rFonts w:hint="eastAsia" w:ascii="仿宋" w:hAnsi="仿宋" w:eastAsia="仿宋"/>
          <w:sz w:val="32"/>
          <w:szCs w:val="32"/>
        </w:rPr>
        <w:t>公务接待年初预算0.28万元，实际2019年发生公务接待费用0万元</w:t>
      </w:r>
      <w:r>
        <w:rPr>
          <w:rFonts w:eastAsia="仿宋_GB2312"/>
          <w:sz w:val="32"/>
          <w:szCs w:val="32"/>
        </w:rPr>
        <w:t>。</w:t>
      </w:r>
      <w:r>
        <w:rPr>
          <w:rFonts w:ascii="仿宋" w:hAnsi="仿宋" w:eastAsia="仿宋"/>
          <w:color w:val="000000"/>
          <w:sz w:val="32"/>
          <w:szCs w:val="32"/>
        </w:rPr>
        <w:t>较201</w:t>
      </w:r>
      <w:r>
        <w:rPr>
          <w:rFonts w:hint="eastAsia" w:ascii="仿宋" w:hAnsi="仿宋" w:eastAsia="仿宋"/>
          <w:color w:val="000000"/>
          <w:sz w:val="32"/>
          <w:szCs w:val="32"/>
        </w:rPr>
        <w:t>8</w:t>
      </w:r>
      <w:r>
        <w:rPr>
          <w:rFonts w:ascii="仿宋" w:hAnsi="仿宋" w:eastAsia="仿宋"/>
          <w:color w:val="000000"/>
          <w:sz w:val="32"/>
          <w:szCs w:val="32"/>
        </w:rPr>
        <w:t>年度决算无增减变化。</w:t>
      </w:r>
    </w:p>
    <w:p>
      <w:pPr>
        <w:adjustRightInd w:val="0"/>
        <w:snapToGrid w:val="0"/>
        <w:spacing w:line="584" w:lineRule="exact"/>
        <w:ind w:firstLine="800" w:firstLineChars="250"/>
        <w:rPr>
          <w:rFonts w:ascii="黑体" w:eastAsia="黑体" w:hAnsiTheme="majorHAnsi" w:cstheme="majorBidi"/>
          <w:sz w:val="32"/>
          <w:szCs w:val="32"/>
        </w:rPr>
      </w:pPr>
      <w:r>
        <w:rPr>
          <w:rFonts w:hint="eastAsia" w:ascii="黑体" w:eastAsia="黑体"/>
          <w:sz w:val="32"/>
          <w:szCs w:val="40"/>
        </w:rPr>
        <w:t>六、</w:t>
      </w:r>
      <w:r>
        <w:rPr>
          <w:rFonts w:hint="eastAsia" w:ascii="黑体" w:eastAsia="黑体" w:hAnsiTheme="majorHAnsi" w:cstheme="majorBidi"/>
          <w:sz w:val="32"/>
          <w:szCs w:val="32"/>
        </w:rPr>
        <w:t>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spacing w:line="560" w:lineRule="exact"/>
        <w:ind w:firstLine="640" w:firstLineChars="200"/>
        <w:jc w:val="left"/>
        <w:rPr>
          <w:rFonts w:ascii="仿宋" w:hAnsi="仿宋" w:eastAsia="仿宋" w:cs="仿宋"/>
          <w:sz w:val="32"/>
          <w:szCs w:val="32"/>
        </w:rPr>
      </w:pPr>
      <w:r>
        <w:rPr>
          <w:rFonts w:hint="eastAsia" w:ascii="仿宋" w:hAnsi="仿宋" w:eastAsia="仿宋" w:cs="DengXian-Regular"/>
          <w:sz w:val="32"/>
          <w:szCs w:val="32"/>
        </w:rPr>
        <w:t>本部门2019年度机关运行经费支出88.96万元，比年初预算数增加</w:t>
      </w:r>
      <w:r>
        <w:rPr>
          <w:rFonts w:ascii="仿宋" w:hAnsi="仿宋" w:eastAsia="仿宋"/>
          <w:sz w:val="32"/>
          <w:szCs w:val="32"/>
        </w:rPr>
        <w:t xml:space="preserve"> </w:t>
      </w:r>
      <w:r>
        <w:rPr>
          <w:rFonts w:hint="eastAsia" w:ascii="仿宋" w:hAnsi="仿宋" w:eastAsia="仿宋"/>
          <w:sz w:val="32"/>
          <w:szCs w:val="32"/>
        </w:rPr>
        <w:t>5.36</w:t>
      </w:r>
      <w:r>
        <w:rPr>
          <w:rFonts w:hint="eastAsia" w:ascii="仿宋" w:hAnsi="仿宋" w:eastAsia="仿宋" w:cs="DengXian-Regular"/>
          <w:sz w:val="32"/>
          <w:szCs w:val="32"/>
        </w:rPr>
        <w:t>万元，增长</w:t>
      </w:r>
      <w:r>
        <w:rPr>
          <w:rFonts w:hint="eastAsia" w:ascii="仿宋" w:hAnsi="仿宋" w:eastAsia="仿宋"/>
          <w:sz w:val="32"/>
          <w:szCs w:val="32"/>
        </w:rPr>
        <w:t>6.41</w:t>
      </w:r>
      <w:r>
        <w:rPr>
          <w:rFonts w:hint="eastAsia" w:ascii="仿宋" w:hAnsi="仿宋" w:eastAsia="仿宋" w:cs="DengXian-Regular"/>
          <w:sz w:val="32"/>
          <w:szCs w:val="32"/>
        </w:rPr>
        <w:t xml:space="preserve"> </w:t>
      </w:r>
      <w:r>
        <w:rPr>
          <w:rFonts w:ascii="仿宋" w:hAnsi="仿宋" w:eastAsia="仿宋"/>
          <w:sz w:val="32"/>
          <w:szCs w:val="32"/>
        </w:rPr>
        <w:t>%</w:t>
      </w:r>
      <w:r>
        <w:rPr>
          <w:rFonts w:hint="eastAsia" w:ascii="仿宋" w:hAnsi="仿宋" w:eastAsia="仿宋" w:cs="DengXian-Regular"/>
          <w:sz w:val="32"/>
          <w:szCs w:val="32"/>
        </w:rPr>
        <w:t>。主要是订阅各类刊物及外出学习培训等增加支出。</w:t>
      </w:r>
      <w:r>
        <w:rPr>
          <w:rFonts w:ascii="仿宋" w:hAnsi="仿宋" w:eastAsia="仿宋"/>
          <w:sz w:val="32"/>
          <w:szCs w:val="32"/>
        </w:rPr>
        <w:t>较201</w:t>
      </w:r>
      <w:r>
        <w:rPr>
          <w:rFonts w:hint="eastAsia" w:ascii="仿宋" w:hAnsi="仿宋" w:eastAsia="仿宋"/>
          <w:sz w:val="32"/>
          <w:szCs w:val="32"/>
        </w:rPr>
        <w:t>8</w:t>
      </w:r>
      <w:r>
        <w:rPr>
          <w:rFonts w:ascii="仿宋" w:hAnsi="仿宋" w:eastAsia="仿宋"/>
          <w:sz w:val="32"/>
          <w:szCs w:val="32"/>
        </w:rPr>
        <w:t>年度决算</w:t>
      </w:r>
      <w:r>
        <w:rPr>
          <w:rFonts w:hint="eastAsia" w:ascii="仿宋" w:hAnsi="仿宋" w:eastAsia="仿宋"/>
          <w:sz w:val="32"/>
          <w:szCs w:val="32"/>
        </w:rPr>
        <w:t>减少63.95</w:t>
      </w:r>
      <w:r>
        <w:rPr>
          <w:rFonts w:ascii="仿宋" w:hAnsi="仿宋" w:eastAsia="仿宋"/>
          <w:sz w:val="32"/>
          <w:szCs w:val="32"/>
        </w:rPr>
        <w:t>万元，</w:t>
      </w:r>
      <w:r>
        <w:rPr>
          <w:rFonts w:hint="eastAsia" w:ascii="仿宋" w:hAnsi="仿宋" w:eastAsia="仿宋"/>
          <w:sz w:val="32"/>
          <w:szCs w:val="32"/>
        </w:rPr>
        <w:t>减少41.82</w:t>
      </w:r>
      <w:r>
        <w:rPr>
          <w:rFonts w:ascii="仿宋" w:hAnsi="仿宋" w:eastAsia="仿宋"/>
          <w:sz w:val="32"/>
          <w:szCs w:val="32"/>
        </w:rPr>
        <w:t>%，主要是</w:t>
      </w:r>
      <w:r>
        <w:rPr>
          <w:rFonts w:hint="eastAsia" w:ascii="仿宋" w:hAnsi="仿宋" w:eastAsia="仿宋" w:cs="仿宋_GB2312"/>
          <w:kern w:val="0"/>
          <w:sz w:val="32"/>
          <w:szCs w:val="32"/>
          <w:shd w:val="clear" w:color="auto" w:fill="FFFFFF"/>
        </w:rPr>
        <w:t>压减一般性支出，节约资金</w:t>
      </w:r>
      <w:r>
        <w:rPr>
          <w:rFonts w:hint="eastAsia" w:ascii="仿宋" w:hAnsi="仿宋" w:eastAsia="仿宋" w:cs="仿宋"/>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widowControl/>
        <w:spacing w:after="0" w:line="580" w:lineRule="exact"/>
        <w:ind w:firstLine="640" w:firstLineChars="200"/>
        <w:jc w:val="left"/>
        <w:rPr>
          <w:rFonts w:ascii="仿宋" w:hAnsi="仿宋" w:eastAsia="仿宋" w:cs="DengXian-Regular"/>
          <w:sz w:val="32"/>
          <w:szCs w:val="32"/>
        </w:rPr>
      </w:pPr>
      <w:r>
        <w:rPr>
          <w:rFonts w:hint="eastAsia" w:ascii="仿宋" w:hAnsi="仿宋" w:eastAsia="仿宋" w:cs="DengXian-Regular"/>
          <w:sz w:val="32"/>
          <w:szCs w:val="32"/>
        </w:rPr>
        <w:t>本部门2019年度政府采购支出总额</w:t>
      </w:r>
      <w:r>
        <w:rPr>
          <w:rFonts w:hint="eastAsia" w:ascii="仿宋" w:hAnsi="仿宋" w:eastAsia="仿宋" w:cs="宋体"/>
          <w:sz w:val="32"/>
          <w:szCs w:val="32"/>
        </w:rPr>
        <w:t>49.50</w:t>
      </w:r>
      <w:r>
        <w:rPr>
          <w:rFonts w:hint="eastAsia" w:ascii="仿宋" w:hAnsi="仿宋" w:eastAsia="仿宋" w:cs="DengXian-Regular"/>
          <w:sz w:val="32"/>
          <w:szCs w:val="32"/>
        </w:rPr>
        <w:t>万元，从采购类型来看，</w:t>
      </w:r>
      <w:r>
        <w:rPr>
          <w:rFonts w:ascii="仿宋" w:hAnsi="仿宋" w:eastAsia="仿宋" w:cs="仿宋_GB2312"/>
          <w:kern w:val="0"/>
          <w:sz w:val="32"/>
          <w:szCs w:val="32"/>
        </w:rPr>
        <w:t>政府采购货物支出</w:t>
      </w:r>
      <w:r>
        <w:rPr>
          <w:rFonts w:hint="eastAsia" w:ascii="仿宋" w:hAnsi="仿宋" w:eastAsia="仿宋" w:cs="仿宋_GB2312"/>
          <w:kern w:val="0"/>
          <w:sz w:val="32"/>
          <w:szCs w:val="32"/>
        </w:rPr>
        <w:t>0</w:t>
      </w:r>
      <w:r>
        <w:rPr>
          <w:rFonts w:ascii="仿宋" w:hAnsi="仿宋" w:eastAsia="仿宋" w:cs="仿宋_GB2312"/>
          <w:kern w:val="0"/>
          <w:sz w:val="32"/>
          <w:szCs w:val="32"/>
        </w:rPr>
        <w:t xml:space="preserve"> 万元、政府采购工程支出</w:t>
      </w:r>
      <w:r>
        <w:rPr>
          <w:rFonts w:hint="eastAsia" w:ascii="仿宋" w:hAnsi="仿宋" w:eastAsia="仿宋" w:cs="仿宋_GB2312"/>
          <w:kern w:val="0"/>
          <w:sz w:val="32"/>
          <w:szCs w:val="32"/>
        </w:rPr>
        <w:t>0</w:t>
      </w:r>
      <w:r>
        <w:rPr>
          <w:rFonts w:ascii="仿宋" w:hAnsi="仿宋" w:eastAsia="仿宋" w:cs="仿宋_GB2312"/>
          <w:kern w:val="0"/>
          <w:sz w:val="32"/>
          <w:szCs w:val="32"/>
        </w:rPr>
        <w:t>万元、政府采购服务支出</w:t>
      </w:r>
      <w:r>
        <w:rPr>
          <w:rFonts w:hint="eastAsia" w:ascii="仿宋" w:hAnsi="仿宋" w:eastAsia="仿宋" w:cs="仿宋_GB2312"/>
          <w:kern w:val="0"/>
          <w:sz w:val="32"/>
          <w:szCs w:val="32"/>
        </w:rPr>
        <w:t>49.50</w:t>
      </w:r>
      <w:r>
        <w:rPr>
          <w:rFonts w:ascii="仿宋" w:hAnsi="仿宋" w:eastAsia="仿宋" w:cs="仿宋_GB2312"/>
          <w:kern w:val="0"/>
          <w:sz w:val="32"/>
          <w:szCs w:val="32"/>
        </w:rPr>
        <w:t>万元。授予中小企业合同金</w:t>
      </w:r>
      <w:r>
        <w:rPr>
          <w:rFonts w:hint="eastAsia" w:ascii="仿宋" w:hAnsi="仿宋" w:eastAsia="仿宋" w:cs="仿宋_GB2312"/>
          <w:kern w:val="0"/>
          <w:sz w:val="32"/>
          <w:szCs w:val="32"/>
        </w:rPr>
        <w:t>0</w:t>
      </w:r>
      <w:r>
        <w:rPr>
          <w:rFonts w:ascii="仿宋" w:hAnsi="仿宋" w:eastAsia="仿宋" w:cs="仿宋_GB2312"/>
          <w:kern w:val="0"/>
          <w:sz w:val="32"/>
          <w:szCs w:val="32"/>
        </w:rPr>
        <w:t>万元，占政府采购支出总额的</w:t>
      </w:r>
      <w:r>
        <w:rPr>
          <w:rFonts w:hint="eastAsia" w:ascii="仿宋" w:hAnsi="仿宋" w:eastAsia="仿宋" w:cs="仿宋_GB2312"/>
          <w:kern w:val="0"/>
          <w:sz w:val="32"/>
          <w:szCs w:val="32"/>
        </w:rPr>
        <w:t>0%，</w:t>
      </w:r>
      <w:r>
        <w:rPr>
          <w:rFonts w:ascii="仿宋" w:hAnsi="仿宋" w:eastAsia="仿宋" w:cs="仿宋_GB2312"/>
          <w:kern w:val="0"/>
          <w:sz w:val="32"/>
          <w:szCs w:val="32"/>
        </w:rPr>
        <w:t>其中授予小微企业合同金额</w:t>
      </w:r>
      <w:r>
        <w:rPr>
          <w:rFonts w:hint="eastAsia" w:ascii="仿宋" w:hAnsi="仿宋" w:eastAsia="仿宋" w:cs="仿宋_GB2312"/>
          <w:kern w:val="0"/>
          <w:sz w:val="32"/>
          <w:szCs w:val="32"/>
        </w:rPr>
        <w:t>0</w:t>
      </w:r>
      <w:r>
        <w:rPr>
          <w:rFonts w:ascii="仿宋" w:hAnsi="仿宋" w:eastAsia="仿宋" w:cs="仿宋_GB2312"/>
          <w:kern w:val="0"/>
          <w:sz w:val="32"/>
          <w:szCs w:val="32"/>
        </w:rPr>
        <w:t xml:space="preserve">万元，占政府采购支出总额的 </w:t>
      </w:r>
      <w:r>
        <w:rPr>
          <w:rFonts w:hint="eastAsia" w:ascii="仿宋" w:hAnsi="仿宋" w:eastAsia="仿宋" w:cs="仿宋_GB2312"/>
          <w:kern w:val="0"/>
          <w:sz w:val="32"/>
          <w:szCs w:val="32"/>
        </w:rPr>
        <w:t>0</w:t>
      </w:r>
      <w:r>
        <w:rPr>
          <w:rFonts w:ascii="仿宋" w:hAnsi="仿宋" w:eastAsia="仿宋" w:cs="仿宋_GB2312"/>
          <w:kern w:val="0"/>
          <w:sz w:val="32"/>
          <w:szCs w:val="32"/>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截至2019年12月31日，本部门共有车辆2辆。其中，机要通信用车2辆。单位价值</w:t>
      </w:r>
      <w:r>
        <w:rPr>
          <w:rFonts w:hint="eastAsia" w:ascii="仿宋" w:hAnsi="仿宋" w:eastAsia="仿宋" w:cs="TimesNewRomanPSMT"/>
          <w:sz w:val="32"/>
          <w:szCs w:val="32"/>
        </w:rPr>
        <w:t>50</w:t>
      </w:r>
      <w:r>
        <w:rPr>
          <w:rFonts w:hint="eastAsia" w:ascii="仿宋" w:hAnsi="仿宋" w:eastAsia="仿宋" w:cs="DengXian-Regular"/>
          <w:sz w:val="32"/>
          <w:szCs w:val="32"/>
        </w:rPr>
        <w:t>万元以上通用设备0台（套），较上年相比无变化，单位价值</w:t>
      </w:r>
      <w:r>
        <w:rPr>
          <w:rFonts w:hint="eastAsia" w:ascii="仿宋" w:hAnsi="仿宋" w:eastAsia="仿宋" w:cs="TimesNewRomanPSMT"/>
          <w:sz w:val="32"/>
          <w:szCs w:val="32"/>
        </w:rPr>
        <w:t>100</w:t>
      </w:r>
      <w:r>
        <w:rPr>
          <w:rFonts w:hint="eastAsia" w:ascii="仿宋" w:hAnsi="仿宋" w:eastAsia="仿宋" w:cs="DengXian-Regular"/>
          <w:sz w:val="32"/>
          <w:szCs w:val="32"/>
        </w:rPr>
        <w:t>万元以上专用设备0台（套）较上年相比无变化。</w:t>
      </w:r>
    </w:p>
    <w:p>
      <w:pPr>
        <w:adjustRightInd w:val="0"/>
        <w:snapToGrid w:val="0"/>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（四）其他需要说明的情况</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1、本部门2019年度国有资本经营预算财政拨款无收支及结转结余情况，故国有资本经营预算财政拨款支出决算表以空表列示。</w:t>
      </w:r>
    </w:p>
    <w:p>
      <w:pPr>
        <w:adjustRightInd w:val="0"/>
        <w:snapToGrid w:val="0"/>
        <w:spacing w:after="0" w:line="580" w:lineRule="exact"/>
        <w:ind w:firstLine="640" w:firstLineChars="200"/>
        <w:rPr>
          <w:rFonts w:ascii="仿宋" w:hAnsi="仿宋" w:eastAsia="仿宋" w:cs="DengXian-Regular"/>
          <w:sz w:val="32"/>
          <w:szCs w:val="32"/>
        </w:rPr>
      </w:pPr>
      <w:r>
        <w:rPr>
          <w:rFonts w:hint="eastAsia" w:ascii="仿宋" w:hAnsi="仿宋" w:eastAsia="仿宋" w:cs="DengXian-Regular"/>
          <w:sz w:val="32"/>
          <w:szCs w:val="32"/>
        </w:rPr>
        <w:t>2、由于决算公开表格中金额数值应当保留两位小数，公开数据为四舍五入计算结果，个别数据合计项与分项之和存在小数点后差额，特此说明。</w:t>
      </w: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第四部分</w:t>
      </w:r>
    </w:p>
    <w:p>
      <w:pPr>
        <w:widowControl/>
        <w:spacing w:line="1200" w:lineRule="exact"/>
        <w:jc w:val="center"/>
        <w:rPr>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相关名词解释</w:t>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（一）</w:t>
      </w:r>
      <w:r>
        <w:rPr>
          <w:rFonts w:hint="eastAsia" w:eastAsia="楷体_GB2312"/>
          <w:b/>
          <w:bCs/>
          <w:sz w:val="32"/>
          <w:szCs w:val="32"/>
        </w:rPr>
        <w:t>财政拨款收入</w:t>
      </w:r>
      <w:r>
        <w:rPr>
          <w:rFonts w:hint="eastAsia" w:ascii="仿宋_GB2312" w:eastAsia="仿宋_GB2312" w:hAnsiTheme="majorEastAsia"/>
          <w:b/>
          <w:bCs/>
          <w:color w:val="000000"/>
          <w:kern w:val="0"/>
          <w:sz w:val="32"/>
          <w:szCs w:val="32"/>
        </w:rPr>
        <w:t>：</w:t>
      </w:r>
      <w:r>
        <w:rPr>
          <w:rFonts w:hint="eastAsia" w:ascii="仿宋" w:hAnsi="仿宋" w:eastAsia="仿宋"/>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（二）</w:t>
      </w:r>
      <w:r>
        <w:rPr>
          <w:rFonts w:hint="eastAsia" w:eastAsia="楷体_GB2312"/>
          <w:b/>
          <w:bCs/>
          <w:sz w:val="32"/>
          <w:szCs w:val="32"/>
        </w:rPr>
        <w:t>事业收入：</w:t>
      </w:r>
      <w:r>
        <w:rPr>
          <w:rFonts w:hint="eastAsia" w:ascii="仿宋" w:hAnsi="仿宋" w:eastAsia="仿宋"/>
          <w:color w:val="000000"/>
          <w:kern w:val="0"/>
          <w:sz w:val="32"/>
          <w:szCs w:val="32"/>
        </w:rPr>
        <w:t>指事业单位开展专业业务活动及辅助活动所取得的收入。</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（三）</w:t>
      </w:r>
      <w:r>
        <w:rPr>
          <w:rFonts w:hint="eastAsia" w:eastAsia="楷体_GB2312"/>
          <w:b/>
          <w:bCs/>
          <w:sz w:val="32"/>
          <w:szCs w:val="32"/>
        </w:rPr>
        <w:t>其他收入：</w:t>
      </w:r>
      <w:r>
        <w:rPr>
          <w:rFonts w:hint="eastAsia" w:ascii="仿宋" w:hAnsi="仿宋" w:eastAsia="仿宋"/>
          <w:color w:val="000000"/>
          <w:kern w:val="0"/>
          <w:sz w:val="32"/>
          <w:szCs w:val="32"/>
        </w:rPr>
        <w:t>指除上述“财政拨款收入”“事业收入”“经营收入”等以外的收入。</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（四）</w:t>
      </w:r>
      <w:r>
        <w:rPr>
          <w:rFonts w:hint="eastAsia" w:eastAsia="楷体_GB2312"/>
          <w:b/>
          <w:bCs/>
          <w:sz w:val="32"/>
          <w:szCs w:val="32"/>
        </w:rPr>
        <w:t>用事业基金弥补收支差额：</w:t>
      </w:r>
      <w:r>
        <w:rPr>
          <w:rFonts w:hint="eastAsia" w:ascii="仿宋" w:hAnsi="仿宋" w:eastAsia="仿宋"/>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（五）年初结转和结余：</w:t>
      </w:r>
      <w:r>
        <w:rPr>
          <w:rFonts w:hint="eastAsia" w:ascii="仿宋" w:hAnsi="仿宋" w:eastAsia="仿宋"/>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（六）结余分配：</w:t>
      </w:r>
      <w:r>
        <w:rPr>
          <w:rFonts w:hint="eastAsia" w:ascii="仿宋" w:hAnsi="仿宋" w:eastAsia="仿宋"/>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（七）年末结转和结余：</w:t>
      </w:r>
      <w:r>
        <w:rPr>
          <w:rFonts w:hint="eastAsia" w:ascii="仿宋" w:hAnsi="仿宋" w:eastAsia="仿宋"/>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（八）基本支出：</w:t>
      </w:r>
      <w:r>
        <w:rPr>
          <w:rFonts w:hint="eastAsia" w:ascii="仿宋" w:hAnsi="仿宋" w:eastAsia="仿宋"/>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（九）项目支出：</w:t>
      </w:r>
      <w:r>
        <w:rPr>
          <w:rFonts w:hint="eastAsia" w:ascii="仿宋" w:hAnsi="仿宋" w:eastAsia="仿宋"/>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（十）资本性支出（基本建设）：</w:t>
      </w:r>
      <w:r>
        <w:rPr>
          <w:rFonts w:hint="eastAsia" w:ascii="仿宋" w:hAnsi="仿宋" w:eastAsia="仿宋"/>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eastAsia="仿宋_GB2312" w:hAnsiTheme="majorEastAsia"/>
          <w:color w:val="000000"/>
          <w:kern w:val="0"/>
          <w:sz w:val="32"/>
          <w:szCs w:val="32"/>
        </w:rPr>
      </w:pPr>
      <w:r>
        <w:rPr>
          <w:rFonts w:hint="eastAsia" w:ascii="仿宋_GB2312" w:eastAsia="仿宋_GB2312" w:hAnsiTheme="majorEastAsia"/>
          <w:b/>
          <w:bCs/>
          <w:color w:val="000000"/>
          <w:kern w:val="0"/>
          <w:sz w:val="32"/>
          <w:szCs w:val="32"/>
        </w:rPr>
        <w:t>（十一）资本性支出：</w:t>
      </w:r>
      <w:r>
        <w:rPr>
          <w:rFonts w:hint="eastAsia" w:ascii="仿宋" w:hAnsi="仿宋" w:eastAsia="仿宋"/>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（十二）“三公”经费：</w:t>
      </w:r>
      <w:r>
        <w:rPr>
          <w:rFonts w:hint="eastAsia" w:ascii="仿宋" w:hAnsi="仿宋" w:eastAsia="仿宋"/>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待费反映单位按规定开支的各类公务接待（含外宾接待）支出。</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（十三）其他交通费用：</w:t>
      </w:r>
      <w:r>
        <w:rPr>
          <w:rFonts w:hint="eastAsia" w:ascii="仿宋" w:hAnsi="仿宋" w:eastAsia="仿宋"/>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（十四）公务用车购置：</w:t>
      </w:r>
      <w:r>
        <w:rPr>
          <w:rFonts w:hint="eastAsia" w:ascii="仿宋" w:hAnsi="仿宋" w:eastAsia="仿宋"/>
          <w:color w:val="000000"/>
          <w:kern w:val="0"/>
          <w:sz w:val="32"/>
          <w:szCs w:val="32"/>
        </w:rPr>
        <w:t>填列单位公务用车购置支出（含车辆购置税、牌照费）。</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（十五）其他交通工具购置：</w:t>
      </w:r>
      <w:r>
        <w:rPr>
          <w:rFonts w:hint="eastAsia" w:ascii="仿宋" w:hAnsi="仿宋" w:eastAsia="仿宋"/>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 w:hAnsi="仿宋" w:eastAsia="仿宋"/>
          <w:color w:val="000000"/>
          <w:kern w:val="0"/>
          <w:sz w:val="32"/>
          <w:szCs w:val="32"/>
        </w:rPr>
      </w:pPr>
      <w:r>
        <w:rPr>
          <w:rFonts w:hint="eastAsia" w:ascii="仿宋_GB2312" w:eastAsia="仿宋_GB2312" w:hAnsiTheme="majorEastAsia"/>
          <w:b/>
          <w:bCs/>
          <w:color w:val="000000"/>
          <w:kern w:val="0"/>
          <w:sz w:val="32"/>
          <w:szCs w:val="32"/>
        </w:rPr>
        <w:t>（十六）机关运行经费：</w:t>
      </w:r>
      <w:r>
        <w:rPr>
          <w:rFonts w:hint="eastAsia" w:ascii="仿宋" w:hAnsi="仿宋" w:eastAsia="仿宋"/>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 w:hAnsi="仿宋" w:eastAsia="仿宋" w:cs="ArialUnicodeMS"/>
          <w:kern w:val="0"/>
          <w:sz w:val="32"/>
          <w:szCs w:val="32"/>
        </w:rPr>
      </w:pPr>
      <w:r>
        <w:rPr>
          <w:rFonts w:hint="eastAsia" w:ascii="仿宋_GB2312" w:eastAsia="仿宋_GB2312" w:hAnsiTheme="majorEastAsia"/>
          <w:b/>
          <w:bCs/>
          <w:color w:val="000000"/>
          <w:kern w:val="0"/>
          <w:sz w:val="32"/>
          <w:szCs w:val="32"/>
        </w:rPr>
        <w:t>（十七）经费形式:</w:t>
      </w:r>
      <w:r>
        <w:rPr>
          <w:rFonts w:hint="eastAsia" w:ascii="仿宋" w:hAnsi="仿宋" w:eastAsia="仿宋"/>
          <w:color w:val="000000"/>
          <w:kern w:val="0"/>
          <w:sz w:val="32"/>
          <w:szCs w:val="32"/>
        </w:rPr>
        <w:t>按照经费来源，</w:t>
      </w:r>
      <w:r>
        <w:rPr>
          <w:rFonts w:hint="eastAsia" w:ascii="仿宋" w:hAnsi="仿宋" w:eastAsia="仿宋" w:cs="ArialUnicodeMS"/>
          <w:kern w:val="0"/>
          <w:sz w:val="32"/>
          <w:szCs w:val="32"/>
        </w:rPr>
        <w:t>可分为财政拨款、财政性资金基本保证、财政性资金定额或定项补助、财政性资金零补助四类。</w:t>
      </w: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rPr>
      </w:pPr>
    </w:p>
    <w:p>
      <w:pPr>
        <w:rPr>
          <w:rFonts w:ascii="宋体" w:hAnsi="宋体" w:cs="ArialUnicodeMS"/>
          <w:color w:val="000000"/>
          <w:kern w:val="0"/>
          <w:sz w:val="76"/>
          <w:szCs w:val="76"/>
        </w:rPr>
      </w:pPr>
    </w:p>
    <w:p>
      <w:pPr>
        <w:widowControl/>
        <w:spacing w:line="1200" w:lineRule="exact"/>
        <w:jc w:val="center"/>
        <w:rPr>
          <w:rFonts w:hAnsi="宋体" w:asciiTheme="minorEastAsia" w:eastAsiaTheme="minorEastAsia"/>
          <w:color w:val="000000" w:themeColor="text1"/>
          <w:sz w:val="76"/>
          <w:szCs w:val="76"/>
          <w14:textFill>
            <w14:solidFill>
              <w14:schemeClr w14:val="tx1"/>
            </w14:solidFill>
          </w14:textFill>
        </w:rPr>
      </w:pPr>
      <w:r>
        <w:rPr>
          <w:rFonts w:hint="eastAsia" w:hAnsi="宋体" w:asciiTheme="minorEastAsia" w:eastAsiaTheme="minorEastAsia"/>
          <w:color w:val="000000" w:themeColor="text1"/>
          <w:sz w:val="76"/>
          <w:szCs w:val="76"/>
          <w14:textFill>
            <w14:solidFill>
              <w14:schemeClr w14:val="tx1"/>
            </w14:solidFill>
          </w14:textFill>
        </w:rPr>
        <w:t>第四部分</w:t>
      </w:r>
    </w:p>
    <w:p>
      <w:pPr>
        <w:widowControl/>
        <w:spacing w:line="1200" w:lineRule="exact"/>
        <w:jc w:val="center"/>
        <w:rPr>
          <w:color w:val="000000" w:themeColor="text1"/>
          <w:sz w:val="76"/>
          <w:szCs w:val="76"/>
          <w14:textFill>
            <w14:solidFill>
              <w14:schemeClr w14:val="tx1"/>
            </w14:solidFill>
          </w14:textFill>
        </w:rPr>
      </w:pPr>
      <w:r>
        <w:rPr>
          <w:rFonts w:hint="eastAsia" w:hAnsi="宋体" w:asciiTheme="minorEastAsia" w:eastAsiaTheme="minorEastAsia"/>
          <w:color w:val="000000" w:themeColor="text1"/>
          <w:sz w:val="76"/>
          <w:szCs w:val="76"/>
          <w14:textFill>
            <w14:solidFill>
              <w14:schemeClr w14:val="tx1"/>
            </w14:solidFill>
          </w14:textFill>
        </w:rPr>
        <w:t>2019年度部门决算报表</w:t>
      </w:r>
    </w:p>
    <w:p>
      <w:pPr>
        <w:rPr>
          <w:rFonts w:ascii="宋体" w:hAnsi="宋体" w:cs="ArialUnicodeMS"/>
          <w:color w:val="000000"/>
          <w:kern w:val="0"/>
        </w:rPr>
        <w:sectPr>
          <w:pgSz w:w="11906" w:h="16838"/>
          <w:pgMar w:top="2098" w:right="1474" w:bottom="1984" w:left="1588" w:header="851" w:footer="992" w:gutter="0"/>
          <w:cols w:space="720" w:num="1"/>
          <w:docGrid w:type="lines" w:linePitch="312" w:charSpace="0"/>
        </w:sectPr>
      </w:pP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公开01表</w:t>
            </w:r>
          </w:p>
        </w:tc>
      </w:tr>
      <w:tr>
        <w:tblPrEx>
          <w:tblCellMar>
            <w:top w:w="0" w:type="dxa"/>
            <w:left w:w="0" w:type="dxa"/>
            <w:bottom w:w="0" w:type="dxa"/>
            <w:right w:w="0" w:type="dxa"/>
          </w:tblCellMar>
        </w:tblPrEx>
        <w:trPr>
          <w:trHeight w:val="418" w:hRule="atLeast"/>
          <w:jc w:val="center"/>
        </w:trPr>
        <w:tc>
          <w:tcPr>
            <w:tcW w:w="4603" w:type="dxa"/>
            <w:gridSpan w:val="3"/>
            <w:tcBorders>
              <w:top w:val="nil"/>
              <w:left w:val="nil"/>
              <w:bottom w:val="nil"/>
              <w:right w:val="nil"/>
            </w:tcBorders>
            <w:tcMar>
              <w:top w:w="15" w:type="dxa"/>
              <w:left w:w="15" w:type="dxa"/>
              <w:right w:w="15" w:type="dxa"/>
            </w:tcMar>
            <w:vAlign w:val="center"/>
          </w:tcPr>
          <w:p>
            <w:pPr>
              <w:widowControl/>
              <w:spacing w:after="0" w:line="240" w:lineRule="exact"/>
              <w:rPr>
                <w:rFonts w:ascii="宋体" w:hAnsi="宋体" w:cs="宋体"/>
                <w:color w:val="000000"/>
                <w:sz w:val="20"/>
                <w:szCs w:val="20"/>
              </w:rPr>
            </w:pPr>
            <w:r>
              <w:rPr>
                <w:rFonts w:hint="eastAsia" w:ascii="宋体" w:hAnsi="宋体" w:cs="宋体"/>
                <w:color w:val="000000"/>
                <w:kern w:val="0"/>
                <w:sz w:val="20"/>
                <w:szCs w:val="20"/>
              </w:rPr>
              <w:t>部门：大厂回族自治县北辰街道办事处</w:t>
            </w: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hAnsi="宋体" w:cs="宋体"/>
                <w:color w:val="000000"/>
                <w:sz w:val="20"/>
                <w:szCs w:val="20"/>
              </w:rPr>
            </w:pPr>
          </w:p>
        </w:tc>
        <w:tc>
          <w:tcPr>
            <w:tcW w:w="1430" w:type="dxa"/>
            <w:tcBorders>
              <w:top w:val="nil"/>
              <w:left w:val="nil"/>
              <w:bottom w:val="nil"/>
              <w:right w:val="nil"/>
            </w:tcBorders>
            <w:tcMar>
              <w:top w:w="15" w:type="dxa"/>
              <w:left w:w="15" w:type="dxa"/>
              <w:right w:w="15" w:type="dxa"/>
            </w:tcMar>
            <w:vAlign w:val="center"/>
          </w:tcPr>
          <w:p>
            <w:pPr>
              <w:widowControl/>
              <w:spacing w:after="0" w:line="240" w:lineRule="exac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rPr>
                <w:rFonts w:ascii="宋体" w:hAnsi="宋体" w:cs="宋体"/>
                <w:color w:val="000000"/>
                <w:sz w:val="20"/>
                <w:szCs w:val="20"/>
              </w:rPr>
            </w:pP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3262.30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ascii="宋体" w:hAnsi="宋体" w:cs="宋体"/>
                <w:color w:val="000000"/>
                <w:sz w:val="20"/>
                <w:szCs w:val="20"/>
              </w:rPr>
              <w:t>887</w:t>
            </w:r>
            <w:r>
              <w:rPr>
                <w:rFonts w:hint="eastAsia" w:ascii="宋体" w:hAnsi="宋体" w:cs="宋体"/>
                <w:color w:val="000000"/>
                <w:sz w:val="20"/>
                <w:szCs w:val="20"/>
              </w:rPr>
              <w:t>.</w:t>
            </w:r>
            <w:r>
              <w:rPr>
                <w:rFonts w:ascii="宋体" w:hAnsi="宋体" w:cs="宋体"/>
                <w:color w:val="000000"/>
                <w:sz w:val="20"/>
                <w:szCs w:val="20"/>
              </w:rPr>
              <w:t>1</w:t>
            </w:r>
            <w:r>
              <w:rPr>
                <w:rFonts w:hint="eastAsia" w:ascii="宋体" w:hAnsi="宋体" w:cs="宋体"/>
                <w:color w:val="000000"/>
                <w:sz w:val="20"/>
                <w:szCs w:val="20"/>
              </w:rPr>
              <w:t>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72.94</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14.80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2340.95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24.55</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4.00</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hAnsi="宋体" w:cs="宋体"/>
                <w:color w:val="000000"/>
                <w:sz w:val="20"/>
                <w:szCs w:val="20"/>
              </w:rPr>
            </w:pP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3262.30</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3347.39</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85.41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0.32</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18"/>
                <w:szCs w:val="18"/>
              </w:rPr>
            </w:pPr>
            <w:r>
              <w:rPr>
                <w:rFonts w:hint="eastAsia" w:ascii="宋体" w:hAnsi="宋体" w:cs="宋体"/>
                <w:color w:val="000000"/>
                <w:sz w:val="18"/>
                <w:szCs w:val="18"/>
              </w:rPr>
              <w:t>3347.71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hAnsi="宋体" w:cs="宋体"/>
                <w:color w:val="000000"/>
                <w:sz w:val="20"/>
                <w:szCs w:val="20"/>
              </w:rPr>
            </w:pPr>
            <w:r>
              <w:rPr>
                <w:rFonts w:hint="eastAsia"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right"/>
              <w:rPr>
                <w:rFonts w:ascii="宋体" w:hAnsi="宋体" w:cs="宋体"/>
                <w:color w:val="000000"/>
                <w:sz w:val="20"/>
                <w:szCs w:val="20"/>
              </w:rPr>
            </w:pPr>
            <w:r>
              <w:rPr>
                <w:rFonts w:hint="eastAsia" w:ascii="宋体" w:hAnsi="宋体" w:cs="宋体"/>
                <w:color w:val="000000"/>
                <w:sz w:val="20"/>
                <w:szCs w:val="20"/>
              </w:rPr>
              <w:t>3347.71</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hAns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2"/>
        <w:tblW w:w="8963" w:type="dxa"/>
        <w:jc w:val="center"/>
        <w:tblLayout w:type="fixed"/>
        <w:tblCellMar>
          <w:top w:w="0" w:type="dxa"/>
          <w:left w:w="0" w:type="dxa"/>
          <w:bottom w:w="0" w:type="dxa"/>
          <w:right w:w="0" w:type="dxa"/>
        </w:tblCellMar>
      </w:tblPr>
      <w:tblGrid>
        <w:gridCol w:w="335"/>
        <w:gridCol w:w="179"/>
        <w:gridCol w:w="520"/>
        <w:gridCol w:w="1318"/>
        <w:gridCol w:w="533"/>
        <w:gridCol w:w="260"/>
        <w:gridCol w:w="290"/>
        <w:gridCol w:w="688"/>
        <w:gridCol w:w="232"/>
        <w:gridCol w:w="584"/>
        <w:gridCol w:w="337"/>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963" w:type="dxa"/>
            <w:gridSpan w:val="17"/>
            <w:tcBorders>
              <w:top w:val="nil"/>
              <w:left w:val="nil"/>
              <w:bottom w:val="nil"/>
              <w:right w:val="nil"/>
            </w:tcBorders>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978"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6"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公开02表</w:t>
            </w:r>
          </w:p>
        </w:tc>
      </w:tr>
      <w:tr>
        <w:tblPrEx>
          <w:tblCellMar>
            <w:top w:w="0" w:type="dxa"/>
            <w:left w:w="0" w:type="dxa"/>
            <w:bottom w:w="0" w:type="dxa"/>
            <w:right w:w="0" w:type="dxa"/>
          </w:tblCellMar>
        </w:tblPrEx>
        <w:trPr>
          <w:trHeight w:val="362" w:hRule="atLeast"/>
          <w:jc w:val="center"/>
        </w:trPr>
        <w:tc>
          <w:tcPr>
            <w:tcW w:w="4939" w:type="dxa"/>
            <w:gridSpan w:val="10"/>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部门：大厂回族自治县北辰街道办事处</w:t>
            </w: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1083"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本年收入合计</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财政拨款收入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1083"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108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1083"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3262.30</w:t>
            </w:r>
          </w:p>
        </w:tc>
        <w:tc>
          <w:tcPr>
            <w:tcW w:w="920"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b/>
                <w:color w:val="000000"/>
                <w:sz w:val="18"/>
                <w:szCs w:val="18"/>
              </w:rPr>
            </w:pPr>
            <w:r>
              <w:rPr>
                <w:rFonts w:hint="eastAsia" w:ascii="宋体" w:hAnsi="宋体" w:cs="宋体"/>
                <w:b/>
                <w:color w:val="000000"/>
                <w:sz w:val="18"/>
                <w:szCs w:val="18"/>
              </w:rPr>
              <w:t>3262.30</w:t>
            </w:r>
          </w:p>
        </w:tc>
        <w:tc>
          <w:tcPr>
            <w:tcW w:w="921"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920"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921" w:type="dxa"/>
            <w:gridSpan w:val="2"/>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920"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92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201</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一般公共服务支出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843.53</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843.53</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20103</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政府办公厅（室）及相关机构事务</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843.53</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843.53</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2010301</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行政运行</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480.71</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480.71</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2010308</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信访事务</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0.19</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0.19</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2010399</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其他政府办公厅（室）及相关机构事务支出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362.63</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362.634</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207</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文化旅游体育与传媒支出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3.00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3.00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20799</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其他文化体育与传媒支出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3.00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3.00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2079902</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宣传文化发展专项支出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3.00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3.00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208</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社会保障和就业支出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72.94</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72.94</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20802</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民政管理事务</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37.60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37.60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2080208</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基层政权和社区建设</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37.60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37.60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20805</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行政事业单位离退休</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35.34</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35.34</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2080505</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机关事业单位基本养老保险缴费支出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35.34</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35.34</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210</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卫生健康支出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14.80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14.80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21011</w:t>
            </w:r>
          </w:p>
        </w:tc>
        <w:tc>
          <w:tcPr>
            <w:tcW w:w="1318"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行政事业单位医疗</w:t>
            </w:r>
          </w:p>
        </w:tc>
        <w:tc>
          <w:tcPr>
            <w:tcW w:w="1083"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14.80</w:t>
            </w:r>
          </w:p>
        </w:tc>
        <w:tc>
          <w:tcPr>
            <w:tcW w:w="920"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14.80</w:t>
            </w:r>
          </w:p>
        </w:tc>
        <w:tc>
          <w:tcPr>
            <w:tcW w:w="921"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2101102</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事业单位医疗</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14.80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14.80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城乡社区支出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2303.47</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2303.47</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21201</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城乡社区管理事务</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241.32</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241.32</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2120101</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行政运行</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16.20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16.20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2120102</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一般行政管理事务</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210.12</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210.12</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2120199</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其他城乡社区管理事务支出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15.00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15.00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21203</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城乡社区公共设施</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1957.20</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1957.20</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2120303</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小城镇基础设施建设</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324.82</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324.82</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2120399</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其他城乡社区公共设施支出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1632.38</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1632.38</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21299</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其他城乡社区支出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104.95</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104.95</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2129901</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其他城乡社区支出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104.95</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104.95</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221</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住房保障支出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24.55</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24.55</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22102</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住房改革支出</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24.55</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24.55</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cs="宋体" w:asciiTheme="majorEastAsia" w:hAnsiTheme="majorEastAsia" w:eastAsiaTheme="majorEastAsia"/>
                <w:color w:val="000000"/>
                <w:sz w:val="20"/>
                <w:szCs w:val="20"/>
              </w:rPr>
              <w:t>2210201</w:t>
            </w:r>
          </w:p>
        </w:tc>
        <w:tc>
          <w:tcPr>
            <w:tcW w:w="1318"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cs="宋体" w:asciiTheme="majorEastAsia" w:hAnsiTheme="majorEastAsia" w:eastAsiaTheme="majorEastAsia"/>
                <w:color w:val="000000"/>
                <w:sz w:val="20"/>
                <w:szCs w:val="20"/>
              </w:rPr>
            </w:pPr>
            <w:r>
              <w:rPr>
                <w:rFonts w:hint="eastAsia" w:cs="宋体" w:asciiTheme="majorEastAsia" w:hAnsiTheme="majorEastAsia" w:eastAsiaTheme="majorEastAsia"/>
                <w:color w:val="000000"/>
                <w:sz w:val="20"/>
                <w:szCs w:val="20"/>
              </w:rPr>
              <w:t>住房公积金</w:t>
            </w:r>
          </w:p>
        </w:tc>
        <w:tc>
          <w:tcPr>
            <w:tcW w:w="1083" w:type="dxa"/>
            <w:gridSpan w:val="3"/>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24.55</w:t>
            </w: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r>
              <w:rPr>
                <w:rFonts w:hint="eastAsia" w:cs="宋体" w:asciiTheme="majorEastAsia" w:hAnsiTheme="majorEastAsia" w:eastAsiaTheme="majorEastAsia"/>
                <w:color w:val="000000"/>
                <w:sz w:val="18"/>
                <w:szCs w:val="18"/>
              </w:rPr>
              <w:t>24.55</w:t>
            </w: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1"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c>
          <w:tcPr>
            <w:tcW w:w="92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ajorEastAsia" w:hAnsiTheme="majorEastAsia" w:eastAsiaTheme="majorEastAsia"/>
                <w:color w:val="000000"/>
                <w:sz w:val="18"/>
                <w:szCs w:val="18"/>
              </w:rPr>
            </w:pPr>
          </w:p>
        </w:tc>
      </w:tr>
      <w:tr>
        <w:tblPrEx>
          <w:tblCellMar>
            <w:top w:w="0" w:type="dxa"/>
            <w:left w:w="0" w:type="dxa"/>
            <w:bottom w:w="0" w:type="dxa"/>
            <w:right w:w="0" w:type="dxa"/>
          </w:tblCellMar>
        </w:tblPrEx>
        <w:trPr>
          <w:trHeight w:val="481" w:hRule="atLeast"/>
          <w:jc w:val="center"/>
        </w:trPr>
        <w:tc>
          <w:tcPr>
            <w:tcW w:w="8963" w:type="dxa"/>
            <w:gridSpan w:val="17"/>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2"/>
        <w:tblW w:w="9000" w:type="dxa"/>
        <w:tblInd w:w="15"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8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03"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1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4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18"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20"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18"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20"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378" w:type="dxa"/>
            <w:gridSpan w:val="2"/>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公开03表</w:t>
            </w:r>
          </w:p>
        </w:tc>
      </w:tr>
      <w:tr>
        <w:tblPrEx>
          <w:tblCellMar>
            <w:top w:w="0" w:type="dxa"/>
            <w:left w:w="0" w:type="dxa"/>
            <w:bottom w:w="0" w:type="dxa"/>
            <w:right w:w="0" w:type="dxa"/>
          </w:tblCellMar>
        </w:tblPrEx>
        <w:trPr>
          <w:trHeight w:val="380" w:hRule="atLeast"/>
        </w:trPr>
        <w:tc>
          <w:tcPr>
            <w:tcW w:w="6502" w:type="dxa"/>
            <w:gridSpan w:val="11"/>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r>
              <w:rPr>
                <w:rFonts w:hint="eastAsia" w:ascii="宋体" w:hAnsi="宋体" w:cs="宋体"/>
                <w:color w:val="000000"/>
                <w:kern w:val="0"/>
                <w:sz w:val="20"/>
                <w:szCs w:val="20"/>
              </w:rPr>
              <w:t>部门：大厂回族自治县北辰街道办事处</w:t>
            </w:r>
          </w:p>
        </w:tc>
        <w:tc>
          <w:tcPr>
            <w:tcW w:w="2498" w:type="dxa"/>
            <w:gridSpan w:val="4"/>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20"/>
                <w:szCs w:val="20"/>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20"/>
                <w:szCs w:val="20"/>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20"/>
                <w:szCs w:val="20"/>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20"/>
                <w:szCs w:val="20"/>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20"/>
                <w:szCs w:val="20"/>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6</w:t>
            </w:r>
          </w:p>
        </w:tc>
      </w:tr>
      <w:tr>
        <w:tblPrEx>
          <w:tblCellMar>
            <w:top w:w="0" w:type="dxa"/>
            <w:left w:w="0" w:type="dxa"/>
            <w:bottom w:w="0" w:type="dxa"/>
            <w:right w:w="0" w:type="dxa"/>
          </w:tblCellMar>
        </w:tblPrEx>
        <w:trPr>
          <w:trHeight w:val="546" w:hRule="atLeast"/>
        </w:trPr>
        <w:tc>
          <w:tcPr>
            <w:tcW w:w="2499"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cs="宋体" w:asciiTheme="minorEastAsia" w:hAnsiTheme="minorEastAsia" w:eastAsiaTheme="minorEastAsia"/>
                <w:color w:val="000000"/>
                <w:sz w:val="20"/>
                <w:szCs w:val="20"/>
              </w:rPr>
            </w:pPr>
            <w:r>
              <w:rPr>
                <w:rFonts w:hint="eastAsia" w:cs="宋体" w:asciiTheme="minorEastAsia" w:hAnsiTheme="minorEastAsia" w:eastAsiaTheme="minorEastAsia"/>
                <w:color w:val="000000"/>
                <w:kern w:val="0"/>
                <w:sz w:val="20"/>
                <w:szCs w:val="20"/>
              </w:rPr>
              <w:t>合计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b/>
                <w:color w:val="000000"/>
                <w:sz w:val="20"/>
                <w:szCs w:val="20"/>
              </w:rPr>
            </w:pPr>
            <w:r>
              <w:rPr>
                <w:rFonts w:hint="eastAsia" w:cs="宋体" w:asciiTheme="minorEastAsia" w:hAnsiTheme="minorEastAsia" w:eastAsiaTheme="minorEastAsia"/>
                <w:b/>
                <w:color w:val="000000"/>
                <w:sz w:val="20"/>
                <w:szCs w:val="20"/>
              </w:rPr>
              <w:t>3347.39</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b/>
                <w:color w:val="000000"/>
                <w:sz w:val="20"/>
                <w:szCs w:val="20"/>
              </w:rPr>
            </w:pPr>
            <w:r>
              <w:rPr>
                <w:rFonts w:hint="eastAsia" w:cs="宋体" w:asciiTheme="minorEastAsia" w:hAnsiTheme="minorEastAsia" w:eastAsiaTheme="minorEastAsia"/>
                <w:b/>
                <w:color w:val="000000"/>
                <w:sz w:val="20"/>
                <w:szCs w:val="20"/>
              </w:rPr>
              <w:t>574.82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b/>
                <w:color w:val="000000"/>
                <w:sz w:val="20"/>
                <w:szCs w:val="20"/>
              </w:rPr>
            </w:pPr>
            <w:r>
              <w:rPr>
                <w:rFonts w:hint="eastAsia" w:cs="宋体" w:asciiTheme="minorEastAsia" w:hAnsiTheme="minorEastAsia" w:eastAsiaTheme="minorEastAsia"/>
                <w:b/>
                <w:color w:val="000000"/>
                <w:sz w:val="20"/>
                <w:szCs w:val="20"/>
              </w:rPr>
              <w:t>2772.56</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b/>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b/>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b/>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ascii="宋体" w:hAnsi="宋体" w:cs="宋体"/>
                <w:color w:val="000000"/>
                <w:sz w:val="18"/>
                <w:szCs w:val="18"/>
              </w:rPr>
              <w:t>201</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一般公共服务支出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887.14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483.93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403.21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ascii="宋体" w:hAnsi="宋体" w:cs="宋体"/>
                <w:color w:val="000000"/>
                <w:sz w:val="18"/>
                <w:szCs w:val="18"/>
              </w:rPr>
              <w:t>20103</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政府办公厅（室）及相关机构事务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887.14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483.93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403.21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ascii="宋体" w:hAnsi="宋体" w:cs="宋体"/>
                <w:color w:val="000000"/>
                <w:sz w:val="18"/>
                <w:szCs w:val="18"/>
              </w:rPr>
              <w:t>2010301</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行政运行</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483.93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483.93</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ascii="宋体" w:hAnsi="宋体" w:cs="宋体"/>
                <w:color w:val="000000"/>
                <w:sz w:val="18"/>
                <w:szCs w:val="18"/>
              </w:rPr>
              <w:t>2010308</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信访事务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0.25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0.25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ascii="宋体" w:hAnsi="宋体" w:cs="宋体"/>
                <w:color w:val="000000"/>
                <w:sz w:val="18"/>
                <w:szCs w:val="18"/>
              </w:rPr>
              <w:t>2010399</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其他政府办公厅（室）及相关机构事务支出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402.96</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402.96</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207</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文化旅游体育与传媒支出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20799</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其他文化体育与传媒支出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2079902</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宣传文化发展专项支出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社会保障和就业支出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72.94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35.34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37.60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20802</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民政管理事务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37.60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37.60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2080208</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基层政权和社区建设</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37.60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37.60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850" w:hRule="atLeast"/>
        </w:trPr>
        <w:tc>
          <w:tcPr>
            <w:tcW w:w="1382"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20805</w:t>
            </w:r>
          </w:p>
        </w:tc>
        <w:tc>
          <w:tcPr>
            <w:tcW w:w="1117"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行政事业单位离退休</w:t>
            </w: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35.34</w:t>
            </w:r>
          </w:p>
        </w:tc>
        <w:tc>
          <w:tcPr>
            <w:tcW w:w="1084"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35.34</w:t>
            </w: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2080505</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机关事业单位基本养老保险缴费支出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35.34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35.34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309"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210</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卫生健康支出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14.80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14.80</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21011</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行政事业单位医疗</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14.80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14.80</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337"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2101102</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事业单位医疗</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14.80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14.80</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271"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城乡社区支出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2340.95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16.20</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2324.75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城乡社区管理事务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245.64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16.20</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229.45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2120101</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行政运行</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16.20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16.20</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2120102</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一般行政管理事务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214.44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214.45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2120199</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其他城乡社区管理事务支出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15.00</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21203</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城乡社区公共设施</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1990.36</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1990.36</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2120303</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小城镇基础设施建设</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324.82</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324.82</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2120399</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其他城乡社区公共设施支出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1665.54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1665.54</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21299</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其他城乡社区支出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104.95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104.95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2129901</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其他城乡社区支出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104.95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104.95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221</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住房保障支出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24.55</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ascii="宋体" w:hAnsi="宋体" w:cs="宋体"/>
                <w:color w:val="000000"/>
                <w:sz w:val="18"/>
                <w:szCs w:val="18"/>
              </w:rPr>
              <w:t>22102</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住房改革支出</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24.55</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2210201</w:t>
            </w:r>
          </w:p>
        </w:tc>
        <w:tc>
          <w:tcPr>
            <w:tcW w:w="1117"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住房公积金</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24.55</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24.55</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229</w:t>
            </w:r>
          </w:p>
        </w:tc>
        <w:tc>
          <w:tcPr>
            <w:tcW w:w="1117"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其他支出</w:t>
            </w: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1084"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1084"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22960</w:t>
            </w:r>
          </w:p>
        </w:tc>
        <w:tc>
          <w:tcPr>
            <w:tcW w:w="1117"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彩票公益金安排的支出</w:t>
            </w: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1084"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1084"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468" w:hRule="atLeast"/>
        </w:trPr>
        <w:tc>
          <w:tcPr>
            <w:tcW w:w="1382"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2296002</w:t>
            </w:r>
          </w:p>
        </w:tc>
        <w:tc>
          <w:tcPr>
            <w:tcW w:w="1117"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r>
              <w:rPr>
                <w:rFonts w:hint="eastAsia" w:ascii="宋体" w:hAnsi="宋体" w:cs="宋体"/>
                <w:color w:val="000000"/>
                <w:sz w:val="18"/>
                <w:szCs w:val="18"/>
              </w:rPr>
              <w:t>用于社会福利的彩票公益金支出</w:t>
            </w: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1084"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1084"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3"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c>
          <w:tcPr>
            <w:tcW w:w="1084"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cs="宋体" w:asciiTheme="minorEastAsia" w:hAnsiTheme="minorEastAsia" w:eastAsiaTheme="minorEastAsia"/>
                <w:color w:val="000000"/>
                <w:sz w:val="20"/>
                <w:szCs w:val="20"/>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2"/>
        <w:tblW w:w="8940" w:type="dxa"/>
        <w:tblInd w:w="15" w:type="dxa"/>
        <w:tblLayout w:type="fixed"/>
        <w:tblCellMar>
          <w:top w:w="0" w:type="dxa"/>
          <w:left w:w="0" w:type="dxa"/>
          <w:bottom w:w="0" w:type="dxa"/>
          <w:right w:w="0" w:type="dxa"/>
        </w:tblCellMar>
      </w:tblPr>
      <w:tblGrid>
        <w:gridCol w:w="1717"/>
        <w:gridCol w:w="745"/>
        <w:gridCol w:w="325"/>
        <w:gridCol w:w="850"/>
        <w:gridCol w:w="212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2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974"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公开04表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20"/>
                <w:szCs w:val="20"/>
              </w:rPr>
            </w:pPr>
            <w:r>
              <w:rPr>
                <w:rFonts w:hint="eastAsia" w:ascii="宋体" w:hAnsi="宋体" w:cs="宋体"/>
                <w:color w:val="000000"/>
                <w:kern w:val="0"/>
                <w:sz w:val="20"/>
                <w:szCs w:val="20"/>
              </w:rPr>
              <w:t>部门：大厂回族自治县北辰街道办事处</w:t>
            </w:r>
          </w:p>
        </w:tc>
        <w:tc>
          <w:tcPr>
            <w:tcW w:w="650"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87"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收     入</w:t>
            </w:r>
          </w:p>
        </w:tc>
        <w:tc>
          <w:tcPr>
            <w:tcW w:w="6153" w:type="dxa"/>
            <w:gridSpan w:val="9"/>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支     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金额</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3262.30</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887.14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887.14</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二、政府性基金预算财政拨款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6</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7</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3.00</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8</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72.94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72.94</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9</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14.80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14.80</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10</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11</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2340.95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2340.95</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12</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13</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14</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15</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16</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17</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18</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19</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24.55</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20</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21</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22</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23</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本年收入合计</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24</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3262.30</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3347.39</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3347.39</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年初财政拨款结转和结余</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25</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85.41</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0.32</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0.32</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一般公共预算财政拨款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26</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81.41</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 xml:space="preserve">  政府性基金预算财政拨款</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27</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18"/>
                <w:szCs w:val="18"/>
              </w:rPr>
            </w:pP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2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28</w:t>
            </w:r>
          </w:p>
        </w:tc>
        <w:tc>
          <w:tcPr>
            <w:tcW w:w="8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3347.71</w:t>
            </w:r>
          </w:p>
        </w:tc>
        <w:tc>
          <w:tcPr>
            <w:tcW w:w="231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18"/>
                <w:szCs w:val="18"/>
              </w:rPr>
            </w:pPr>
            <w:r>
              <w:rPr>
                <w:rFonts w:hint="eastAsia"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3347.71</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3343.71</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18"/>
                <w:szCs w:val="18"/>
              </w:rPr>
            </w:pPr>
            <w:r>
              <w:rPr>
                <w:rFonts w:hint="eastAsia" w:ascii="宋体" w:hAnsi="宋体" w:cs="宋体"/>
                <w:color w:val="000000"/>
                <w:sz w:val="18"/>
                <w:szCs w:val="18"/>
              </w:rPr>
              <w:t>4.00</w:t>
            </w: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2"/>
        <w:tblW w:w="8860" w:type="dxa"/>
        <w:tblInd w:w="15"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公开05表</w:t>
            </w:r>
          </w:p>
        </w:tc>
      </w:tr>
      <w:tr>
        <w:tblPrEx>
          <w:tblCellMar>
            <w:top w:w="0" w:type="dxa"/>
            <w:left w:w="0" w:type="dxa"/>
            <w:bottom w:w="0" w:type="dxa"/>
            <w:right w:w="0" w:type="dxa"/>
          </w:tblCellMar>
        </w:tblPrEx>
        <w:trPr>
          <w:trHeight w:val="334" w:hRule="atLeast"/>
        </w:trPr>
        <w:tc>
          <w:tcPr>
            <w:tcW w:w="5739" w:type="dxa"/>
            <w:gridSpan w:val="7"/>
            <w:tcBorders>
              <w:top w:val="nil"/>
              <w:left w:val="nil"/>
              <w:bottom w:val="nil"/>
              <w:right w:val="nil"/>
            </w:tcBorders>
            <w:tcMar>
              <w:top w:w="15" w:type="dxa"/>
              <w:left w:w="15" w:type="dxa"/>
              <w:right w:w="15" w:type="dxa"/>
            </w:tcMar>
            <w:vAlign w:val="center"/>
          </w:tcPr>
          <w:p>
            <w:pPr>
              <w:widowControl/>
              <w:spacing w:after="0" w:line="240" w:lineRule="atLeast"/>
              <w:rPr>
                <w:rFonts w:ascii="Arial" w:hAnsi="Arial" w:cs="Arial"/>
                <w:color w:val="000000"/>
                <w:szCs w:val="21"/>
              </w:rPr>
            </w:pPr>
            <w:r>
              <w:rPr>
                <w:rFonts w:hint="eastAsia" w:ascii="宋体" w:hAnsi="宋体" w:cs="宋体"/>
                <w:color w:val="000000"/>
                <w:kern w:val="0"/>
                <w:szCs w:val="21"/>
              </w:rPr>
              <w:t>部门：大厂回族自治县北辰街道办事处</w:t>
            </w:r>
          </w:p>
        </w:tc>
        <w:tc>
          <w:tcPr>
            <w:tcW w:w="3121" w:type="dxa"/>
            <w:gridSpan w:val="2"/>
            <w:tcBorders>
              <w:top w:val="nil"/>
              <w:left w:val="nil"/>
              <w:bottom w:val="nil"/>
              <w:right w:val="nil"/>
            </w:tcBorders>
            <w:tcMar>
              <w:top w:w="15" w:type="dxa"/>
              <w:left w:w="15" w:type="dxa"/>
              <w:right w:w="15" w:type="dxa"/>
            </w:tcMar>
            <w:vAlign w:val="center"/>
          </w:tcPr>
          <w:p>
            <w:pPr>
              <w:widowControl/>
              <w:spacing w:after="0" w:line="240" w:lineRule="atLeast"/>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功能分类科目编码</w:t>
            </w:r>
          </w:p>
        </w:tc>
        <w:tc>
          <w:tcPr>
            <w:tcW w:w="210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210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210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栏次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1</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2</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hAnsi="宋体" w:cs="宋体"/>
                <w:color w:val="000000"/>
                <w:sz w:val="20"/>
                <w:szCs w:val="20"/>
              </w:rPr>
            </w:pPr>
            <w:r>
              <w:rPr>
                <w:rFonts w:hint="eastAsia" w:ascii="宋体" w:hAnsi="宋体" w:cs="宋体"/>
                <w:color w:val="000000"/>
                <w:kern w:val="0"/>
                <w:sz w:val="20"/>
                <w:szCs w:val="20"/>
              </w:rPr>
              <w:t>合计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b/>
                <w:color w:val="000000"/>
                <w:sz w:val="20"/>
                <w:szCs w:val="20"/>
              </w:rPr>
            </w:pPr>
            <w:r>
              <w:rPr>
                <w:rFonts w:hint="eastAsia" w:ascii="宋体" w:hAnsi="宋体" w:cs="宋体"/>
                <w:b/>
                <w:color w:val="000000"/>
                <w:sz w:val="20"/>
                <w:szCs w:val="20"/>
              </w:rPr>
              <w:t>3343.39</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b/>
                <w:color w:val="000000"/>
                <w:sz w:val="20"/>
                <w:szCs w:val="20"/>
              </w:rPr>
            </w:pPr>
            <w:r>
              <w:rPr>
                <w:rFonts w:hint="eastAsia" w:ascii="宋体" w:hAnsi="宋体" w:cs="宋体"/>
                <w:b/>
                <w:color w:val="000000"/>
                <w:sz w:val="20"/>
                <w:szCs w:val="20"/>
              </w:rPr>
              <w:t>574.82</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b/>
                <w:color w:val="000000"/>
                <w:sz w:val="20"/>
                <w:szCs w:val="20"/>
              </w:rPr>
            </w:pPr>
            <w:r>
              <w:rPr>
                <w:rFonts w:hint="eastAsia" w:ascii="宋体" w:hAnsi="宋体" w:cs="宋体"/>
                <w:b/>
                <w:color w:val="000000"/>
                <w:sz w:val="20"/>
                <w:szCs w:val="20"/>
              </w:rPr>
              <w:t>2768.56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一般公共服务支出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887.14</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483.93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403.21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20103</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政府办公厅（室）及相关机构事务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887.14</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483.93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403.21</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2010301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行政运行</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483.93</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483.93</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2010308</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信访事务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0.25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0.25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2010399</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其他政府办公厅（室）及相关机构事务支出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402.96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402.96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207</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文化旅游体育与传媒支出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20799</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其他文化体育与传媒支出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2079902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宣传文化发展专项支出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社会保障和就业支出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72.94</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35.34</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37.60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民政管理事务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37.60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37.60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2080208</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基层政权和社区建设</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37.60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37.60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20805</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行政事业单位离退休</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35.34</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35.34</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2080505</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机关事业单位基本养老保险缴费支出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35.34</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35.34</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210</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卫生健康支出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14.80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14.80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21011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行政事业单位医疗</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14.80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14.80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2101102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事业单位医疗</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14.80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14.80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城乡社区支出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2340.95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16.20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2324.75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城乡社区管理事务</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245.65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16.20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229.45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2120101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行政运行</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16.20</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16.20</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2120102</w:t>
            </w:r>
          </w:p>
        </w:tc>
        <w:tc>
          <w:tcPr>
            <w:tcW w:w="2109"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一般行政管理事务</w:t>
            </w:r>
          </w:p>
        </w:tc>
        <w:tc>
          <w:tcPr>
            <w:tcW w:w="1919"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214.45</w:t>
            </w:r>
          </w:p>
        </w:tc>
        <w:tc>
          <w:tcPr>
            <w:tcW w:w="1919" w:type="dxa"/>
            <w:gridSpan w:val="2"/>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214.45</w:t>
            </w:r>
          </w:p>
        </w:tc>
      </w:tr>
      <w:tr>
        <w:tblPrEx>
          <w:tblCellMar>
            <w:top w:w="0" w:type="dxa"/>
            <w:left w:w="0" w:type="dxa"/>
            <w:bottom w:w="0" w:type="dxa"/>
            <w:right w:w="0" w:type="dxa"/>
          </w:tblCellMar>
        </w:tblPrEx>
        <w:trPr>
          <w:trHeight w:val="368" w:hRule="atLeast"/>
        </w:trPr>
        <w:tc>
          <w:tcPr>
            <w:tcW w:w="993" w:type="dxa"/>
            <w:gridSpan w:val="3"/>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2120199</w:t>
            </w:r>
          </w:p>
        </w:tc>
        <w:tc>
          <w:tcPr>
            <w:tcW w:w="2109"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 xml:space="preserve"> 其他城乡社区管理事务支出</w:t>
            </w:r>
          </w:p>
        </w:tc>
        <w:tc>
          <w:tcPr>
            <w:tcW w:w="1919"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15.00</w:t>
            </w:r>
          </w:p>
        </w:tc>
        <w:tc>
          <w:tcPr>
            <w:tcW w:w="1919" w:type="dxa"/>
            <w:gridSpan w:val="2"/>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15.00</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21203</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城乡社区公共设施</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1990.36</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1990.36</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2120303</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小城镇基础设施建设</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324.82</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324.82</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2120399</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其他城乡社区公共设施支出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1665.54</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1665.54</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21299</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其他城乡社区支出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104.95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104.95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2129901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 xml:space="preserve">  其他城乡社区支出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104.95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104.95</w:t>
            </w: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住房保障支出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24.55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24.55</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22102</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住房改革支出</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24.55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24.55</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2210201</w:t>
            </w:r>
          </w:p>
        </w:tc>
        <w:tc>
          <w:tcPr>
            <w:tcW w:w="210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left"/>
              <w:rPr>
                <w:rFonts w:ascii="宋体" w:hAnsi="宋体" w:cs="宋体"/>
                <w:color w:val="000000"/>
                <w:sz w:val="20"/>
                <w:szCs w:val="20"/>
              </w:rPr>
            </w:pPr>
            <w:r>
              <w:rPr>
                <w:rFonts w:hint="eastAsia" w:ascii="宋体" w:hAnsi="宋体" w:cs="宋体"/>
                <w:color w:val="000000"/>
                <w:sz w:val="20"/>
                <w:szCs w:val="20"/>
              </w:rPr>
              <w:t>住房公积金</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24.55</w:t>
            </w:r>
          </w:p>
        </w:tc>
        <w:tc>
          <w:tcPr>
            <w:tcW w:w="1919"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r>
              <w:rPr>
                <w:rFonts w:hint="eastAsia" w:ascii="宋体" w:hAnsi="宋体" w:cs="宋体"/>
                <w:color w:val="000000"/>
                <w:sz w:val="20"/>
                <w:szCs w:val="20"/>
              </w:rPr>
              <w:t>24.55</w:t>
            </w:r>
          </w:p>
        </w:tc>
        <w:tc>
          <w:tcPr>
            <w:tcW w:w="192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right"/>
              <w:rPr>
                <w:rFonts w:ascii="宋体" w:hAnsi="宋体" w:cs="宋体"/>
                <w:color w:val="000000"/>
                <w:sz w:val="20"/>
                <w:szCs w:val="20"/>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tcMar>
              <w:top w:w="15" w:type="dxa"/>
              <w:left w:w="15" w:type="dxa"/>
              <w:right w:w="15" w:type="dxa"/>
            </w:tcMar>
            <w:vAlign w:val="center"/>
          </w:tcPr>
          <w:p>
            <w:pPr>
              <w:widowControl/>
              <w:spacing w:after="0" w:line="240" w:lineRule="atLeast"/>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注：本表反映部门本年度一般公共预算财政拨款收入及支出情况。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3"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公开06表</w:t>
            </w:r>
          </w:p>
        </w:tc>
      </w:tr>
      <w:tr>
        <w:tblPrEx>
          <w:tblCellMar>
            <w:top w:w="0" w:type="dxa"/>
            <w:left w:w="0" w:type="dxa"/>
            <w:bottom w:w="0" w:type="dxa"/>
            <w:right w:w="0" w:type="dxa"/>
          </w:tblCellMar>
        </w:tblPrEx>
        <w:trPr>
          <w:trHeight w:val="269" w:hRule="atLeast"/>
          <w:jc w:val="center"/>
        </w:trPr>
        <w:tc>
          <w:tcPr>
            <w:tcW w:w="5235" w:type="dxa"/>
            <w:gridSpan w:val="5"/>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 w:val="22"/>
                <w:szCs w:val="22"/>
              </w:rPr>
              <w:t>部门：大厂回族自治县北辰街道办事处</w:t>
            </w:r>
          </w:p>
        </w:tc>
        <w:tc>
          <w:tcPr>
            <w:tcW w:w="74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5"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5"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人员经费</w:t>
            </w:r>
          </w:p>
        </w:tc>
        <w:tc>
          <w:tcPr>
            <w:tcW w:w="6185" w:type="dxa"/>
            <w:gridSpan w:val="6"/>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8"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59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7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c>
          <w:tcPr>
            <w:tcW w:w="56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8"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59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7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56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hAns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484.09</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商品和服务支出</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85.62</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基本工资</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121.87</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4.49</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国内债务付息</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津贴补贴</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109.78</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印刷费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14.34</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国外债务付息</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89.66</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咨询费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3.34</w:t>
            </w: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伙食补助费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手续费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0.03</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房屋建筑物购建</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绩效工资</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23.57</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水费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办公设备购置</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3.34</w:t>
            </w: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机关事业单位基本养老保险缴费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35.34</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电费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专用设备购置</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职业年金缴费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邮电费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21.08</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基础设施建设</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职工基本医疗保险缴费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14.80</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取暖费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18.22</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大型修缮</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公务员医疗补助缴费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物业管理费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0.10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信息网络及软件购置更新</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其他社会保障缴费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1.29</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差旅费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物资储备</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住房公积金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24.55</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因公出国（境）费用</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土地补偿</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30114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维修（护）费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3.75</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安置补助</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30199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其他工资福利支出</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63.22</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租赁费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地上附着物和青苗补偿</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1.77</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会议费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拆迁补偿</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30301</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离休费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培训费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公务用车购置</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30302</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退休费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公务接待费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其他交通工具购置</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30303</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退职（役）费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专用材料费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文物和陈列品购置</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30304</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抚恤金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被装购置费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无形资产购置</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30305</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生活补助</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1.77</w:t>
            </w: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专用燃料费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其他资本性支出</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30306</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救济费</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劳务费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7.06</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30307</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医疗费补助</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委托业务费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0.50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赠与</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30308</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助学金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工会经费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5.97</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国家赔偿费用支出</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30309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奖励金</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福利费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2.90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对民间非营利组织和群众性自治组织补贴</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30310</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个人农业生产补贴</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公务用车运行维护费</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2.69</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其他支出</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30399</w:t>
            </w: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其他对个人和家庭的补助支出</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其他交通费用</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3.45</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税金及附加费用</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0.35</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8"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59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p>
        </w:tc>
        <w:tc>
          <w:tcPr>
            <w:tcW w:w="47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hAnsi="宋体" w:cs="宋体"/>
                <w:color w:val="000000"/>
                <w:sz w:val="16"/>
                <w:szCs w:val="16"/>
              </w:rPr>
            </w:pPr>
            <w:r>
              <w:rPr>
                <w:rFonts w:hint="eastAsia" w:ascii="宋体" w:hAnsi="宋体" w:cs="宋体"/>
                <w:color w:val="000000"/>
                <w:kern w:val="0"/>
                <w:sz w:val="16"/>
                <w:szCs w:val="16"/>
              </w:rPr>
              <w:t xml:space="preserve">  其他商品和服务支出</w:t>
            </w:r>
          </w:p>
        </w:tc>
        <w:tc>
          <w:tcPr>
            <w:tcW w:w="7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0.20</w:t>
            </w:r>
          </w:p>
        </w:tc>
        <w:tc>
          <w:tcPr>
            <w:tcW w:w="56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hAnsi="宋体" w:cs="宋体"/>
                <w:color w:val="000000"/>
                <w:sz w:val="16"/>
                <w:szCs w:val="16"/>
              </w:rPr>
            </w:pP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5"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485.86</w:t>
            </w:r>
          </w:p>
        </w:tc>
        <w:tc>
          <w:tcPr>
            <w:tcW w:w="5328" w:type="dxa"/>
            <w:gridSpan w:val="5"/>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center"/>
              <w:textAlignment w:val="center"/>
              <w:rPr>
                <w:rFonts w:ascii="宋体" w:hAns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right"/>
              <w:rPr>
                <w:rFonts w:ascii="宋体" w:hAnsi="宋体" w:cs="宋体"/>
                <w:color w:val="000000"/>
                <w:sz w:val="16"/>
                <w:szCs w:val="16"/>
              </w:rPr>
            </w:pPr>
            <w:r>
              <w:rPr>
                <w:rFonts w:hint="eastAsia" w:ascii="宋体" w:hAnsi="宋体" w:cs="宋体"/>
                <w:color w:val="000000"/>
                <w:sz w:val="16"/>
                <w:szCs w:val="16"/>
              </w:rPr>
              <w:t>88.96</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 xml:space="preserve">注：本表反映部门本年度一般公共预算财政拨款基本支出明细情况。        </w:t>
            </w:r>
          </w:p>
        </w:tc>
      </w:tr>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公开07表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 w:val="20"/>
                <w:szCs w:val="20"/>
              </w:rPr>
            </w:pPr>
            <w:r>
              <w:rPr>
                <w:rFonts w:hint="eastAsia" w:ascii="宋体" w:hAnsi="宋体" w:cs="宋体"/>
                <w:color w:val="000000"/>
                <w:kern w:val="0"/>
                <w:sz w:val="20"/>
                <w:szCs w:val="20"/>
              </w:rPr>
              <w:t>部门：大厂回族自治县北辰街道办事处</w:t>
            </w:r>
          </w:p>
        </w:tc>
        <w:tc>
          <w:tcPr>
            <w:tcW w:w="1527" w:type="dxa"/>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right"/>
              <w:textAlignment w:val="center"/>
              <w:rPr>
                <w:rFonts w:ascii="宋体" w:hAns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5.10</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5.00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5.00</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0.10</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2.69</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r>
              <w:rPr>
                <w:rFonts w:hint="eastAsia" w:ascii="宋体" w:hAnsi="宋体" w:cs="宋体"/>
                <w:color w:val="000000"/>
                <w:szCs w:val="21"/>
              </w:rPr>
              <w:t>2.69</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注：本表反映部门本年度“三公”经费支出预决算情况。其中：预算数为“三公”经费年初预算数，决算数是包括当年一般公共预算财政拨款和以前年度结转资金安排的实际支出。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2"/>
        <w:tblW w:w="8875" w:type="dxa"/>
        <w:tblInd w:w="0" w:type="dxa"/>
        <w:tblLayout w:type="fixed"/>
        <w:tblCellMar>
          <w:top w:w="0" w:type="dxa"/>
          <w:left w:w="0" w:type="dxa"/>
          <w:bottom w:w="0" w:type="dxa"/>
          <w:right w:w="0" w:type="dxa"/>
        </w:tblCellMar>
      </w:tblPr>
      <w:tblGrid>
        <w:gridCol w:w="15"/>
        <w:gridCol w:w="281"/>
        <w:gridCol w:w="191"/>
        <w:gridCol w:w="479"/>
        <w:gridCol w:w="669"/>
        <w:gridCol w:w="376"/>
        <w:gridCol w:w="1166"/>
        <w:gridCol w:w="840"/>
        <w:gridCol w:w="1191"/>
        <w:gridCol w:w="1192"/>
        <w:gridCol w:w="1192"/>
        <w:gridCol w:w="1268"/>
        <w:gridCol w:w="15"/>
      </w:tblGrid>
      <w:tr>
        <w:tblPrEx>
          <w:tblCellMar>
            <w:top w:w="0" w:type="dxa"/>
            <w:left w:w="0" w:type="dxa"/>
            <w:bottom w:w="0" w:type="dxa"/>
            <w:right w:w="0" w:type="dxa"/>
          </w:tblCellMar>
        </w:tblPrEx>
        <w:trPr>
          <w:gridAfter w:val="1"/>
          <w:wAfter w:w="15" w:type="dxa"/>
          <w:trHeight w:val="707" w:hRule="atLeast"/>
        </w:trPr>
        <w:tc>
          <w:tcPr>
            <w:tcW w:w="8860" w:type="dxa"/>
            <w:gridSpan w:val="12"/>
            <w:tcBorders>
              <w:top w:val="nil"/>
              <w:left w:val="nil"/>
              <w:bottom w:val="nil"/>
              <w:right w:val="nil"/>
            </w:tcBorders>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政府性基金预算财政拨款收入支出决算表</w:t>
            </w:r>
          </w:p>
        </w:tc>
      </w:tr>
      <w:tr>
        <w:tblPrEx>
          <w:tblCellMar>
            <w:top w:w="0" w:type="dxa"/>
            <w:left w:w="0" w:type="dxa"/>
            <w:bottom w:w="0" w:type="dxa"/>
            <w:right w:w="0" w:type="dxa"/>
          </w:tblCellMar>
        </w:tblPrEx>
        <w:trPr>
          <w:gridAfter w:val="1"/>
          <w:wAfter w:w="15" w:type="dxa"/>
          <w:trHeight w:val="315" w:hRule="atLeast"/>
        </w:trPr>
        <w:tc>
          <w:tcPr>
            <w:tcW w:w="296" w:type="dxa"/>
            <w:gridSpan w:val="2"/>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公开08表</w:t>
            </w:r>
          </w:p>
        </w:tc>
      </w:tr>
      <w:tr>
        <w:tblPrEx>
          <w:tblCellMar>
            <w:top w:w="0" w:type="dxa"/>
            <w:left w:w="0" w:type="dxa"/>
            <w:bottom w:w="0" w:type="dxa"/>
            <w:right w:w="0" w:type="dxa"/>
          </w:tblCellMar>
        </w:tblPrEx>
        <w:trPr>
          <w:gridAfter w:val="1"/>
          <w:wAfter w:w="15" w:type="dxa"/>
          <w:trHeight w:val="411" w:hRule="atLeast"/>
        </w:trPr>
        <w:tc>
          <w:tcPr>
            <w:tcW w:w="5208" w:type="dxa"/>
            <w:gridSpan w:val="9"/>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rPr>
              <w:t>大厂回族自治县北辰街道办事处</w:t>
            </w:r>
          </w:p>
        </w:tc>
        <w:tc>
          <w:tcPr>
            <w:tcW w:w="1192" w:type="dxa"/>
            <w:tcBorders>
              <w:top w:val="nil"/>
              <w:left w:val="nil"/>
              <w:bottom w:val="nil"/>
              <w:right w:val="nil"/>
            </w:tcBorders>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tcMar>
              <w:top w:w="15" w:type="dxa"/>
              <w:left w:w="15" w:type="dxa"/>
              <w:right w:w="15" w:type="dxa"/>
            </w:tcMar>
            <w:vAlign w:val="center"/>
          </w:tcPr>
          <w:p>
            <w:pPr>
              <w:widowControl/>
              <w:adjustRightInd w:val="0"/>
              <w:spacing w:after="0" w:line="240" w:lineRule="auto"/>
              <w:jc w:val="right"/>
              <w:textAlignment w:val="center"/>
              <w:rPr>
                <w:rFonts w:ascii="宋体" w:hAns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gridAfter w:val="1"/>
          <w:wAfter w:w="15" w:type="dxa"/>
          <w:trHeight w:val="324" w:hRule="atLeast"/>
        </w:trPr>
        <w:tc>
          <w:tcPr>
            <w:tcW w:w="2011"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gridAfter w:val="1"/>
          <w:wAfter w:w="15" w:type="dxa"/>
          <w:trHeight w:val="324" w:hRule="atLeast"/>
        </w:trPr>
        <w:tc>
          <w:tcPr>
            <w:tcW w:w="966" w:type="dxa"/>
            <w:gridSpan w:val="4"/>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12" w:hRule="atLeast"/>
        </w:trPr>
        <w:tc>
          <w:tcPr>
            <w:tcW w:w="966" w:type="dxa"/>
            <w:gridSpan w:val="4"/>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045"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2011"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1</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2</w:t>
            </w: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3</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4</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5</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6</w:t>
            </w:r>
          </w:p>
        </w:tc>
      </w:tr>
      <w:tr>
        <w:tblPrEx>
          <w:tblCellMar>
            <w:top w:w="0" w:type="dxa"/>
            <w:left w:w="0" w:type="dxa"/>
            <w:bottom w:w="0" w:type="dxa"/>
            <w:right w:w="0" w:type="dxa"/>
          </w:tblCellMar>
        </w:tblPrEx>
        <w:trPr>
          <w:gridAfter w:val="1"/>
          <w:wAfter w:w="15" w:type="dxa"/>
          <w:trHeight w:val="324" w:hRule="atLeast"/>
        </w:trPr>
        <w:tc>
          <w:tcPr>
            <w:tcW w:w="2011"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hAns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4.00</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4.00</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r>
              <w:rPr>
                <w:rFonts w:hint="eastAsia" w:ascii="宋体" w:hAnsi="宋体" w:cs="宋体"/>
                <w:b/>
                <w:color w:val="000000"/>
                <w:szCs w:val="21"/>
              </w:rPr>
              <w:t>4.00</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b/>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229</w:t>
            </w: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其他支出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4.00</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4.00</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4.00</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22960</w:t>
            </w: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彩票公益金安排的支出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4.00</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4.00</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4.00</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2296006</w:t>
            </w: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r>
              <w:rPr>
                <w:rFonts w:hint="eastAsia" w:ascii="宋体" w:hAnsi="宋体" w:cs="宋体"/>
                <w:color w:val="000000"/>
                <w:szCs w:val="21"/>
              </w:rPr>
              <w:t>用于社会福利的彩票公益金支出</w:t>
            </w: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4.00</w:t>
            </w: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4.00</w:t>
            </w: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r>
              <w:rPr>
                <w:rFonts w:hint="eastAsia" w:ascii="宋体" w:hAnsi="宋体" w:cs="宋体"/>
                <w:color w:val="000000"/>
                <w:szCs w:val="21"/>
              </w:rPr>
              <w:t>4.00</w:t>
            </w: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966"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04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left"/>
              <w:rPr>
                <w:rFonts w:ascii="宋体" w:hAnsi="宋体" w:cs="宋体"/>
                <w:color w:val="000000"/>
                <w:szCs w:val="21"/>
              </w:rPr>
            </w:pPr>
          </w:p>
        </w:tc>
        <w:tc>
          <w:tcPr>
            <w:tcW w:w="1166"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840"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1"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192"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c>
          <w:tcPr>
            <w:tcW w:w="1268"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right"/>
              <w:rPr>
                <w:rFonts w:ascii="宋体" w:hAnsi="宋体" w:cs="宋体"/>
                <w:color w:val="000000"/>
                <w:szCs w:val="21"/>
              </w:rPr>
            </w:pPr>
          </w:p>
        </w:tc>
      </w:tr>
      <w:tr>
        <w:tblPrEx>
          <w:tblCellMar>
            <w:top w:w="0" w:type="dxa"/>
            <w:left w:w="0" w:type="dxa"/>
            <w:bottom w:w="0" w:type="dxa"/>
            <w:right w:w="0" w:type="dxa"/>
          </w:tblCellMar>
        </w:tblPrEx>
        <w:trPr>
          <w:gridAfter w:val="1"/>
          <w:wAfter w:w="15" w:type="dxa"/>
          <w:trHeight w:val="324" w:hRule="atLeast"/>
        </w:trPr>
        <w:tc>
          <w:tcPr>
            <w:tcW w:w="8860" w:type="dxa"/>
            <w:gridSpan w:val="12"/>
            <w:tcBorders>
              <w:top w:val="nil"/>
              <w:left w:val="nil"/>
              <w:bottom w:val="nil"/>
              <w:right w:val="nil"/>
            </w:tcBorders>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注：</w:t>
            </w:r>
            <w:r>
              <w:rPr>
                <w:rFonts w:hint="eastAsia"/>
              </w:rPr>
              <w:t>本部门本年度无相关收支及结转结余情况，按要求空表列示。</w:t>
            </w:r>
          </w:p>
        </w:tc>
      </w:tr>
      <w:tr>
        <w:tblPrEx>
          <w:tblCellMar>
            <w:top w:w="0" w:type="dxa"/>
            <w:left w:w="0" w:type="dxa"/>
            <w:bottom w:w="0" w:type="dxa"/>
            <w:right w:w="0" w:type="dxa"/>
          </w:tblCellMar>
        </w:tblPrEx>
        <w:trPr>
          <w:gridBefore w:val="1"/>
          <w:wBefore w:w="15" w:type="dxa"/>
          <w:trHeight w:val="324" w:hRule="atLeast"/>
        </w:trPr>
        <w:tc>
          <w:tcPr>
            <w:tcW w:w="8860" w:type="dxa"/>
            <w:gridSpan w:val="12"/>
            <w:tcBorders>
              <w:top w:val="nil"/>
              <w:left w:val="nil"/>
              <w:bottom w:val="nil"/>
              <w:right w:val="nil"/>
            </w:tcBorders>
            <w:tcMar>
              <w:top w:w="15" w:type="dxa"/>
              <w:left w:w="15" w:type="dxa"/>
              <w:right w:w="15" w:type="dxa"/>
            </w:tcMar>
            <w:vAlign w:val="center"/>
          </w:tcPr>
          <w:p>
            <w:pPr>
              <w:widowControl/>
              <w:adjustRightInd w:val="0"/>
              <w:spacing w:after="0" w:line="240" w:lineRule="auto"/>
              <w:jc w:val="left"/>
              <w:textAlignment w:val="center"/>
              <w:rPr>
                <w:rFonts w:ascii="宋体" w:hAnsi="宋体" w:cs="宋体"/>
                <w:color w:val="000000"/>
                <w:szCs w:val="21"/>
              </w:rPr>
            </w:pPr>
            <w:r>
              <w:rPr>
                <w:rFonts w:hint="eastAsia" w:ascii="宋体" w:hAnsi="宋体" w:cs="宋体"/>
                <w:color w:val="000000"/>
                <w:kern w:val="0"/>
                <w:szCs w:val="21"/>
              </w:rPr>
              <w:t xml:space="preserve">注：本表反映部门本年度政府性基金预算财政拨款收入、支出及结转和结余情况。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720" w:num="1"/>
          <w:docGrid w:type="lines" w:linePitch="312" w:charSpace="0"/>
        </w:sectPr>
      </w:pPr>
    </w:p>
    <w:tbl>
      <w:tblPr>
        <w:tblStyle w:val="12"/>
        <w:tblW w:w="8800" w:type="dxa"/>
        <w:tblInd w:w="15"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公开09表</w:t>
            </w:r>
          </w:p>
        </w:tc>
      </w:tr>
      <w:tr>
        <w:tblPrEx>
          <w:tblCellMar>
            <w:top w:w="0" w:type="dxa"/>
            <w:left w:w="0" w:type="dxa"/>
            <w:bottom w:w="0" w:type="dxa"/>
            <w:right w:w="0" w:type="dxa"/>
          </w:tblCellMar>
        </w:tblPrEx>
        <w:trPr>
          <w:trHeight w:val="335" w:hRule="atLeast"/>
        </w:trPr>
        <w:tc>
          <w:tcPr>
            <w:tcW w:w="5362" w:type="dxa"/>
            <w:gridSpan w:val="9"/>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rPr>
              <w:t>大厂回族自治县北辰街道办事处</w:t>
            </w:r>
          </w:p>
        </w:tc>
        <w:tc>
          <w:tcPr>
            <w:tcW w:w="3438"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hAns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hAns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677"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lef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8"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c>
          <w:tcPr>
            <w:tcW w:w="18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right"/>
              <w:rPr>
                <w:rFonts w:ascii="宋体" w:hAns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hAnsi="宋体" w:cs="宋体"/>
                <w:color w:val="000000"/>
                <w:sz w:val="22"/>
                <w:szCs w:val="22"/>
              </w:rPr>
            </w:pPr>
            <w:r>
              <w:rPr>
                <w:rFonts w:hint="eastAsia" w:ascii="宋体" w:hAnsi="宋体" w:cs="宋体"/>
                <w:color w:val="000000"/>
                <w:kern w:val="0"/>
                <w:szCs w:val="21"/>
              </w:rPr>
              <w:t>注：</w:t>
            </w:r>
            <w:r>
              <w:rPr>
                <w:rFonts w:hint="eastAsia"/>
              </w:rPr>
              <w:t>本部门本年度无相关收支及结转结余情况，按要求空表列示。</w:t>
            </w:r>
          </w:p>
        </w:tc>
      </w:tr>
    </w:tbl>
    <w:p>
      <w:pPr>
        <w:widowControl/>
        <w:spacing w:after="0" w:line="580" w:lineRule="exact"/>
        <w:jc w:val="left"/>
        <w:rPr>
          <w:rFonts w:cs="MS-UIGothic,Bold" w:asciiTheme="majorEastAsia" w:hAnsiTheme="majorEastAsia" w:eastAsiaTheme="majorEastAsia"/>
          <w:b/>
          <w:bCs/>
          <w:kern w:val="0"/>
          <w:sz w:val="44"/>
          <w:szCs w:val="44"/>
        </w:rPr>
        <w:sectPr>
          <w:pgSz w:w="11906" w:h="16838"/>
          <w:pgMar w:top="1701" w:right="1418" w:bottom="1701" w:left="1418" w:header="851" w:footer="992" w:gutter="0"/>
          <w:cols w:space="0" w:num="1"/>
          <w:docGrid w:type="lines" w:linePitch="312" w:charSpace="0"/>
        </w:sectPr>
      </w:pPr>
    </w:p>
    <w:p>
      <w:pPr>
        <w:widowControl/>
        <w:spacing w:after="0" w:line="560" w:lineRule="exact"/>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after="0" w:line="560" w:lineRule="exact"/>
        <w:rPr>
          <w:rFonts w:ascii="仿宋_GB2312" w:eastAsia="仿宋_GB2312" w:cs="ArialUnicodeMS" w:hAnsiTheme="minorHAnsi"/>
          <w:kern w:val="0"/>
          <w:sz w:val="32"/>
          <w:szCs w:val="32"/>
        </w:rPr>
      </w:pPr>
    </w:p>
    <w:p>
      <w:pPr>
        <w:widowControl/>
        <w:spacing w:after="0" w:line="560" w:lineRule="exact"/>
        <w:ind w:firstLine="640" w:firstLineChars="200"/>
        <w:rPr>
          <w:rFonts w:ascii="仿宋_GB2312" w:eastAsia="仿宋_GB2312" w:cs="ArialUnicodeMS" w:hAnsiTheme="minorHAnsi"/>
          <w:kern w:val="0"/>
          <w:sz w:val="32"/>
          <w:szCs w:val="32"/>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r>
        <w:rPr>
          <w:rFonts w:hint="eastAsia" w:hAnsi="宋体" w:asciiTheme="minorEastAsia" w:eastAsiaTheme="minorEastAsia"/>
          <w:color w:val="000000" w:themeColor="text1"/>
          <w:sz w:val="96"/>
          <w:szCs w:val="96"/>
          <w14:textFill>
            <w14:solidFill>
              <w14:schemeClr w14:val="tx1"/>
            </w14:solidFill>
          </w14:textFill>
        </w:rPr>
        <w:t>第五部分          预算绩效公开内容</w:t>
      </w: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widowControl/>
        <w:spacing w:line="1200" w:lineRule="exact"/>
        <w:jc w:val="center"/>
        <w:rPr>
          <w:rFonts w:hAnsi="宋体" w:asciiTheme="minorEastAsia" w:eastAsiaTheme="minorEastAsia"/>
          <w:color w:val="000000" w:themeColor="text1"/>
          <w:sz w:val="96"/>
          <w:szCs w:val="96"/>
          <w14:textFill>
            <w14:solidFill>
              <w14:schemeClr w14:val="tx1"/>
            </w14:solidFill>
          </w14:textFill>
        </w:rPr>
      </w:pPr>
    </w:p>
    <w:p>
      <w:pPr>
        <w:spacing w:line="584" w:lineRule="exact"/>
        <w:ind w:firstLine="640" w:firstLineChars="200"/>
        <w:rPr>
          <w:rFonts w:eastAsia="仿宋_GB2312"/>
          <w:color w:val="000000"/>
          <w:sz w:val="32"/>
          <w:szCs w:val="32"/>
        </w:rPr>
      </w:pPr>
      <w:r>
        <w:rPr>
          <w:rFonts w:eastAsia="黑体"/>
          <w:color w:val="000000"/>
          <w:sz w:val="32"/>
          <w:szCs w:val="40"/>
        </w:rPr>
        <w:t>一、预算绩效情况说明</w:t>
      </w:r>
    </w:p>
    <w:p>
      <w:pPr>
        <w:spacing w:line="584" w:lineRule="exact"/>
        <w:ind w:firstLine="643" w:firstLineChars="200"/>
        <w:rPr>
          <w:rFonts w:ascii="楷体" w:hAnsi="楷体" w:eastAsia="楷体"/>
          <w:b/>
          <w:bCs/>
          <w:color w:val="000000"/>
          <w:sz w:val="32"/>
          <w:szCs w:val="32"/>
        </w:rPr>
      </w:pPr>
      <w:r>
        <w:rPr>
          <w:rFonts w:eastAsia="楷体_GB2312"/>
          <w:b/>
          <w:bCs/>
          <w:color w:val="000000"/>
          <w:sz w:val="32"/>
          <w:szCs w:val="32"/>
        </w:rPr>
        <w:t>（一）</w:t>
      </w:r>
      <w:r>
        <w:rPr>
          <w:rFonts w:ascii="楷体" w:hAnsi="楷体" w:eastAsia="楷体" w:cs="DengXian-Bold"/>
          <w:b/>
          <w:bCs/>
          <w:sz w:val="32"/>
          <w:szCs w:val="32"/>
        </w:rPr>
        <w:t>预算绩效管理工作开展情况</w:t>
      </w:r>
    </w:p>
    <w:p>
      <w:pPr>
        <w:autoSpaceDE w:val="0"/>
        <w:autoSpaceDN w:val="0"/>
        <w:adjustRightInd w:val="0"/>
        <w:spacing w:line="560" w:lineRule="exact"/>
        <w:ind w:firstLine="640" w:firstLineChars="200"/>
        <w:jc w:val="left"/>
        <w:rPr>
          <w:rFonts w:ascii="仿宋" w:hAnsi="仿宋" w:eastAsia="仿宋"/>
          <w:color w:val="000000"/>
          <w:kern w:val="0"/>
          <w:sz w:val="32"/>
          <w:szCs w:val="32"/>
        </w:rPr>
      </w:pPr>
      <w:r>
        <w:rPr>
          <w:rFonts w:ascii="仿宋" w:hAnsi="仿宋" w:eastAsia="仿宋"/>
          <w:color w:val="000000"/>
          <w:sz w:val="32"/>
          <w:szCs w:val="32"/>
        </w:rPr>
        <w:t>根据预算绩效管理要求，本部门对2019年度整体绩效实现情况和项目支出情况开展绩效评价。组织对2019年度一般公共预算项目支出全面开展绩效自评，项目</w:t>
      </w:r>
      <w:r>
        <w:rPr>
          <w:rFonts w:hint="eastAsia" w:ascii="仿宋" w:hAnsi="仿宋" w:eastAsia="仿宋"/>
          <w:color w:val="000000"/>
          <w:sz w:val="32"/>
          <w:szCs w:val="32"/>
        </w:rPr>
        <w:t>20</w:t>
      </w:r>
      <w:r>
        <w:rPr>
          <w:rFonts w:ascii="仿宋" w:hAnsi="仿宋" w:eastAsia="仿宋"/>
          <w:color w:val="000000"/>
          <w:sz w:val="32"/>
          <w:szCs w:val="32"/>
        </w:rPr>
        <w:t>个，涉及资金</w:t>
      </w:r>
      <w:r>
        <w:rPr>
          <w:rFonts w:hint="eastAsia" w:ascii="仿宋" w:hAnsi="仿宋" w:eastAsia="仿宋"/>
          <w:color w:val="000000"/>
          <w:sz w:val="32"/>
          <w:szCs w:val="32"/>
        </w:rPr>
        <w:t>2688.77</w:t>
      </w:r>
      <w:r>
        <w:rPr>
          <w:rFonts w:ascii="仿宋" w:hAnsi="仿宋" w:eastAsia="仿宋"/>
          <w:color w:val="000000"/>
          <w:sz w:val="32"/>
          <w:szCs w:val="32"/>
        </w:rPr>
        <w:t>万元，占一般公共预算项目支出总额的</w:t>
      </w:r>
      <w:r>
        <w:rPr>
          <w:rFonts w:hint="eastAsia" w:ascii="仿宋" w:hAnsi="仿宋" w:eastAsia="仿宋"/>
          <w:color w:val="000000"/>
          <w:sz w:val="32"/>
          <w:szCs w:val="32"/>
        </w:rPr>
        <w:t>97%</w:t>
      </w:r>
      <w:r>
        <w:rPr>
          <w:rFonts w:ascii="仿宋" w:hAnsi="仿宋" w:eastAsia="仿宋"/>
          <w:color w:val="000000"/>
          <w:sz w:val="32"/>
          <w:szCs w:val="32"/>
        </w:rPr>
        <w:t>。组织对“</w:t>
      </w:r>
      <w:r>
        <w:rPr>
          <w:rFonts w:hint="eastAsia" w:eastAsia="仿宋_GB2312"/>
          <w:color w:val="000000"/>
          <w:sz w:val="32"/>
          <w:szCs w:val="32"/>
        </w:rPr>
        <w:t>城区老旧住宅小区公共基础设施和背街小巷道路改造提升工程</w:t>
      </w:r>
      <w:r>
        <w:rPr>
          <w:rFonts w:ascii="仿宋" w:hAnsi="仿宋" w:eastAsia="仿宋"/>
          <w:color w:val="000000"/>
          <w:sz w:val="32"/>
          <w:szCs w:val="32"/>
        </w:rPr>
        <w:t>”“</w:t>
      </w:r>
      <w:r>
        <w:rPr>
          <w:rFonts w:hint="eastAsia" w:eastAsia="仿宋_GB2312"/>
          <w:color w:val="000000"/>
          <w:sz w:val="32"/>
          <w:szCs w:val="32"/>
        </w:rPr>
        <w:t xml:space="preserve"> 老旧小区改造二期工程</w:t>
      </w:r>
      <w:r>
        <w:rPr>
          <w:rFonts w:ascii="仿宋" w:hAnsi="仿宋" w:eastAsia="仿宋"/>
          <w:color w:val="000000"/>
          <w:sz w:val="32"/>
          <w:szCs w:val="32"/>
        </w:rPr>
        <w:t>”等</w:t>
      </w:r>
      <w:r>
        <w:rPr>
          <w:rFonts w:hint="eastAsia" w:ascii="仿宋" w:hAnsi="仿宋" w:eastAsia="仿宋"/>
          <w:color w:val="000000"/>
          <w:sz w:val="32"/>
          <w:szCs w:val="32"/>
        </w:rPr>
        <w:t>20</w:t>
      </w:r>
      <w:r>
        <w:rPr>
          <w:rFonts w:ascii="仿宋" w:hAnsi="仿宋" w:eastAsia="仿宋"/>
          <w:color w:val="000000"/>
          <w:sz w:val="32"/>
          <w:szCs w:val="32"/>
        </w:rPr>
        <w:t>个项目开展了部门评价，涉及一般公共预算支出</w:t>
      </w:r>
      <w:r>
        <w:rPr>
          <w:rFonts w:hint="eastAsia" w:ascii="仿宋" w:hAnsi="仿宋" w:eastAsia="仿宋"/>
          <w:color w:val="000000"/>
          <w:sz w:val="32"/>
          <w:szCs w:val="32"/>
        </w:rPr>
        <w:t>2688.77</w:t>
      </w:r>
      <w:r>
        <w:rPr>
          <w:rFonts w:ascii="仿宋" w:hAnsi="仿宋" w:eastAsia="仿宋"/>
          <w:color w:val="000000"/>
          <w:sz w:val="32"/>
          <w:szCs w:val="32"/>
        </w:rPr>
        <w:t>万元。从评价情况来看，</w:t>
      </w:r>
      <w:r>
        <w:rPr>
          <w:rFonts w:hint="eastAsia" w:ascii="仿宋" w:hAnsi="仿宋" w:eastAsia="仿宋"/>
          <w:color w:val="000000"/>
          <w:kern w:val="0"/>
          <w:sz w:val="32"/>
          <w:szCs w:val="32"/>
        </w:rPr>
        <w:t>北辰街道办事处紧紧围绕整体工作目标，开展全年各项工作，服务能力和服务水平明显提高，群众对街道办事处工作的认可率、满意率高。</w:t>
      </w:r>
    </w:p>
    <w:p>
      <w:pPr>
        <w:spacing w:line="584" w:lineRule="exact"/>
        <w:ind w:firstLine="643" w:firstLineChars="200"/>
        <w:rPr>
          <w:rFonts w:eastAsia="楷体_GB2312"/>
          <w:b/>
          <w:bCs/>
          <w:color w:val="000000"/>
          <w:sz w:val="32"/>
          <w:szCs w:val="32"/>
        </w:rPr>
      </w:pPr>
      <w:r>
        <w:rPr>
          <w:rFonts w:eastAsia="楷体_GB2312"/>
          <w:b/>
          <w:bCs/>
          <w:color w:val="000000"/>
          <w:sz w:val="32"/>
          <w:szCs w:val="32"/>
        </w:rPr>
        <w:t>（二）</w:t>
      </w:r>
      <w:r>
        <w:rPr>
          <w:rFonts w:ascii="楷体" w:hAnsi="楷体" w:eastAsia="楷体"/>
          <w:b/>
          <w:bCs/>
          <w:color w:val="000000"/>
          <w:sz w:val="32"/>
          <w:szCs w:val="32"/>
        </w:rPr>
        <w:t>部门绩效评价结果</w:t>
      </w:r>
    </w:p>
    <w:p>
      <w:pPr>
        <w:spacing w:line="584" w:lineRule="exact"/>
        <w:ind w:firstLine="643" w:firstLineChars="200"/>
        <w:rPr>
          <w:rFonts w:eastAsia="仿宋_GB2312"/>
          <w:color w:val="000000"/>
          <w:sz w:val="32"/>
          <w:szCs w:val="32"/>
        </w:rPr>
      </w:pPr>
      <w:r>
        <w:rPr>
          <w:rFonts w:eastAsia="仿宋_GB2312"/>
          <w:b/>
          <w:bCs/>
          <w:color w:val="000000"/>
          <w:sz w:val="32"/>
          <w:szCs w:val="32"/>
        </w:rPr>
        <w:t>1.项目绩效自评结果。</w:t>
      </w:r>
      <w:r>
        <w:rPr>
          <w:rFonts w:eastAsia="仿宋_GB2312"/>
          <w:color w:val="000000"/>
          <w:sz w:val="32"/>
          <w:szCs w:val="32"/>
        </w:rPr>
        <w:t>本部门2019 年度对</w:t>
      </w:r>
      <w:r>
        <w:rPr>
          <w:rFonts w:hint="eastAsia" w:eastAsia="仿宋_GB2312"/>
          <w:color w:val="000000"/>
          <w:sz w:val="32"/>
          <w:szCs w:val="32"/>
        </w:rPr>
        <w:t>20</w:t>
      </w:r>
      <w:r>
        <w:rPr>
          <w:rFonts w:eastAsia="仿宋_GB2312"/>
          <w:color w:val="000000"/>
          <w:sz w:val="32"/>
          <w:szCs w:val="32"/>
        </w:rPr>
        <w:t>个项目进行了绩效自评，项目自评结果90 分以上的</w:t>
      </w:r>
      <w:r>
        <w:rPr>
          <w:rFonts w:hint="eastAsia" w:eastAsia="仿宋_GB2312"/>
          <w:color w:val="000000"/>
          <w:sz w:val="32"/>
          <w:szCs w:val="32"/>
        </w:rPr>
        <w:t>20</w:t>
      </w:r>
      <w:r>
        <w:rPr>
          <w:rFonts w:eastAsia="仿宋_GB2312"/>
          <w:color w:val="000000"/>
          <w:sz w:val="32"/>
          <w:szCs w:val="32"/>
        </w:rPr>
        <w:t>项。在部门决算公开中反映</w:t>
      </w:r>
      <w:r>
        <w:rPr>
          <w:rFonts w:hint="eastAsia" w:eastAsia="仿宋_GB2312"/>
          <w:color w:val="000000"/>
          <w:sz w:val="32"/>
          <w:szCs w:val="32"/>
        </w:rPr>
        <w:t>城区老旧住宅小区公共基础设施和背街小巷道路改造提升工程</w:t>
      </w:r>
      <w:r>
        <w:rPr>
          <w:rFonts w:eastAsia="仿宋_GB2312"/>
          <w:color w:val="000000"/>
          <w:sz w:val="32"/>
          <w:szCs w:val="32"/>
        </w:rPr>
        <w:t>项目及</w:t>
      </w:r>
      <w:r>
        <w:rPr>
          <w:rFonts w:hint="eastAsia" w:eastAsia="仿宋_GB2312"/>
          <w:color w:val="000000"/>
          <w:sz w:val="32"/>
          <w:szCs w:val="32"/>
        </w:rPr>
        <w:t>老旧小区改造二期工程</w:t>
      </w:r>
      <w:r>
        <w:rPr>
          <w:rFonts w:eastAsia="仿宋_GB2312"/>
          <w:color w:val="000000"/>
          <w:sz w:val="32"/>
          <w:szCs w:val="32"/>
        </w:rPr>
        <w:t>项目等</w:t>
      </w:r>
      <w:r>
        <w:rPr>
          <w:rFonts w:hint="eastAsia" w:eastAsia="仿宋_GB2312"/>
          <w:color w:val="000000"/>
          <w:sz w:val="32"/>
          <w:szCs w:val="32"/>
        </w:rPr>
        <w:t>20</w:t>
      </w:r>
      <w:r>
        <w:rPr>
          <w:rFonts w:eastAsia="仿宋_GB2312"/>
          <w:color w:val="000000"/>
          <w:sz w:val="32"/>
          <w:szCs w:val="32"/>
        </w:rPr>
        <w:t>个项目绩效自评结果。</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信访经费</w:t>
      </w:r>
      <w:r>
        <w:rPr>
          <w:rFonts w:eastAsia="仿宋_GB2312"/>
          <w:color w:val="000000"/>
          <w:sz w:val="32"/>
          <w:szCs w:val="32"/>
        </w:rPr>
        <w:t>项目综述：根据年初设定的绩效目标，</w:t>
      </w:r>
      <w:r>
        <w:rPr>
          <w:rFonts w:hint="eastAsia" w:eastAsia="仿宋_GB2312"/>
          <w:color w:val="000000"/>
          <w:sz w:val="32"/>
          <w:szCs w:val="32"/>
        </w:rPr>
        <w:t>信访经费</w:t>
      </w:r>
      <w:r>
        <w:rPr>
          <w:rFonts w:eastAsia="仿宋_GB2312"/>
          <w:color w:val="000000"/>
          <w:sz w:val="32"/>
          <w:szCs w:val="32"/>
        </w:rPr>
        <w:t>项目绩效自评得分为</w:t>
      </w:r>
      <w:r>
        <w:rPr>
          <w:rFonts w:hint="eastAsia" w:eastAsia="仿宋_GB2312"/>
          <w:color w:val="000000"/>
          <w:sz w:val="32"/>
          <w:szCs w:val="32"/>
        </w:rPr>
        <w:t>90.61</w:t>
      </w:r>
      <w:r>
        <w:rPr>
          <w:rFonts w:eastAsia="仿宋_GB2312"/>
          <w:color w:val="000000"/>
          <w:sz w:val="32"/>
          <w:szCs w:val="32"/>
        </w:rPr>
        <w:t>分（绩效自评表附后）。全年预算数为</w:t>
      </w:r>
      <w:r>
        <w:rPr>
          <w:rFonts w:hint="eastAsia" w:eastAsia="仿宋_GB2312"/>
          <w:color w:val="000000"/>
          <w:sz w:val="32"/>
          <w:szCs w:val="32"/>
        </w:rPr>
        <w:t>3.16</w:t>
      </w:r>
      <w:r>
        <w:rPr>
          <w:rFonts w:eastAsia="仿宋_GB2312"/>
          <w:color w:val="000000"/>
          <w:sz w:val="32"/>
          <w:szCs w:val="32"/>
        </w:rPr>
        <w:t>万元，执行数为</w:t>
      </w:r>
      <w:r>
        <w:rPr>
          <w:rFonts w:hint="eastAsia" w:eastAsia="仿宋_GB2312"/>
          <w:color w:val="000000"/>
          <w:sz w:val="32"/>
          <w:szCs w:val="32"/>
        </w:rPr>
        <w:t>0.19</w:t>
      </w:r>
      <w:r>
        <w:rPr>
          <w:rFonts w:eastAsia="仿宋_GB2312"/>
          <w:color w:val="000000"/>
          <w:sz w:val="32"/>
          <w:szCs w:val="32"/>
        </w:rPr>
        <w:t>万元，完成预算的</w:t>
      </w:r>
      <w:r>
        <w:rPr>
          <w:rFonts w:hint="eastAsia" w:eastAsia="仿宋_GB2312"/>
          <w:color w:val="000000"/>
          <w:sz w:val="32"/>
          <w:szCs w:val="32"/>
        </w:rPr>
        <w:t>6.1%</w:t>
      </w:r>
      <w:r>
        <w:rPr>
          <w:rFonts w:eastAsia="仿宋_GB2312"/>
          <w:color w:val="000000"/>
          <w:sz w:val="32"/>
          <w:szCs w:val="32"/>
        </w:rPr>
        <w:t>。项目绩效目标完成情况：一是</w:t>
      </w:r>
      <w:r>
        <w:rPr>
          <w:rFonts w:hint="eastAsia" w:eastAsia="仿宋_GB2312"/>
          <w:color w:val="000000"/>
          <w:sz w:val="32"/>
          <w:szCs w:val="32"/>
        </w:rPr>
        <w:t>完成</w:t>
      </w:r>
      <w:r>
        <w:rPr>
          <w:rFonts w:eastAsia="仿宋_GB2312"/>
          <w:color w:val="000000"/>
          <w:sz w:val="32"/>
          <w:szCs w:val="32"/>
        </w:rPr>
        <w:t>县委县政府安排的值班工作；二是</w:t>
      </w:r>
      <w:r>
        <w:rPr>
          <w:rFonts w:hint="eastAsia" w:eastAsia="仿宋_GB2312"/>
          <w:color w:val="000000"/>
          <w:sz w:val="32"/>
          <w:szCs w:val="32"/>
        </w:rPr>
        <w:t>处理</w:t>
      </w:r>
      <w:r>
        <w:rPr>
          <w:rFonts w:eastAsia="仿宋_GB2312"/>
          <w:color w:val="000000"/>
          <w:sz w:val="32"/>
          <w:szCs w:val="32"/>
        </w:rPr>
        <w:t>各项信访接待事件。发现的主要问题及原因：预算安排不太合理</w:t>
      </w:r>
      <w:r>
        <w:rPr>
          <w:rFonts w:hint="eastAsia" w:eastAsia="仿宋_GB2312"/>
          <w:color w:val="000000"/>
          <w:sz w:val="32"/>
          <w:szCs w:val="32"/>
        </w:rPr>
        <w:t>，</w:t>
      </w:r>
      <w:r>
        <w:rPr>
          <w:rFonts w:eastAsia="仿宋_GB2312"/>
          <w:color w:val="000000"/>
          <w:sz w:val="32"/>
          <w:szCs w:val="32"/>
        </w:rPr>
        <w:t>预算经费远大于实际支出。下一步改进措施：</w:t>
      </w:r>
      <w:r>
        <w:rPr>
          <w:rFonts w:hint="eastAsia" w:eastAsia="仿宋_GB2312"/>
          <w:color w:val="000000"/>
          <w:sz w:val="32"/>
          <w:szCs w:val="32"/>
        </w:rPr>
        <w:t>围绕县委、</w:t>
      </w:r>
      <w:r>
        <w:rPr>
          <w:rFonts w:eastAsia="仿宋_GB2312"/>
          <w:color w:val="000000"/>
          <w:sz w:val="32"/>
          <w:szCs w:val="32"/>
        </w:rPr>
        <w:t>县政府工作安排</w:t>
      </w:r>
      <w:r>
        <w:rPr>
          <w:rFonts w:hint="eastAsia" w:eastAsia="仿宋_GB2312"/>
          <w:color w:val="000000"/>
          <w:sz w:val="32"/>
          <w:szCs w:val="32"/>
        </w:rPr>
        <w:t>，</w:t>
      </w:r>
      <w:r>
        <w:rPr>
          <w:rFonts w:eastAsia="仿宋_GB2312"/>
          <w:color w:val="000000"/>
          <w:sz w:val="32"/>
          <w:szCs w:val="32"/>
        </w:rPr>
        <w:t>合理申报预算资金。</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北辰街道办事处机关屋面防水及部分外墙改造工程</w:t>
      </w:r>
      <w:r>
        <w:rPr>
          <w:rFonts w:eastAsia="仿宋_GB2312"/>
          <w:color w:val="000000"/>
          <w:sz w:val="32"/>
          <w:szCs w:val="32"/>
        </w:rPr>
        <w:t>项目综述：根据年初设定的绩效目标，</w:t>
      </w:r>
      <w:r>
        <w:rPr>
          <w:rFonts w:hint="eastAsia" w:eastAsia="仿宋_GB2312"/>
          <w:color w:val="000000"/>
          <w:sz w:val="32"/>
          <w:szCs w:val="32"/>
        </w:rPr>
        <w:t>北辰街道办事处机关屋面防水及部分外墙改造工程</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8.62</w:t>
      </w:r>
      <w:r>
        <w:rPr>
          <w:rFonts w:eastAsia="仿宋_GB2312"/>
          <w:color w:val="000000"/>
          <w:sz w:val="32"/>
          <w:szCs w:val="32"/>
        </w:rPr>
        <w:t>万元，执行数为</w:t>
      </w:r>
      <w:r>
        <w:rPr>
          <w:rFonts w:hint="eastAsia" w:eastAsia="仿宋_GB2312"/>
          <w:color w:val="000000"/>
          <w:sz w:val="32"/>
          <w:szCs w:val="32"/>
        </w:rPr>
        <w:t>8.62</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完成北辰街道办事处机关屋面防水及部分外墙改造施工任务，优化办公环境。</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环保所经费</w:t>
      </w:r>
      <w:r>
        <w:rPr>
          <w:rFonts w:eastAsia="仿宋_GB2312"/>
          <w:color w:val="000000"/>
          <w:sz w:val="32"/>
          <w:szCs w:val="32"/>
        </w:rPr>
        <w:t>项目综述：根据年初设定的绩效目标，</w:t>
      </w:r>
      <w:r>
        <w:rPr>
          <w:rFonts w:hint="eastAsia" w:eastAsia="仿宋_GB2312"/>
          <w:color w:val="000000"/>
          <w:sz w:val="32"/>
          <w:szCs w:val="32"/>
        </w:rPr>
        <w:t>环保所经费</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0.5</w:t>
      </w:r>
      <w:r>
        <w:rPr>
          <w:rFonts w:eastAsia="仿宋_GB2312"/>
          <w:color w:val="000000"/>
          <w:sz w:val="32"/>
          <w:szCs w:val="32"/>
        </w:rPr>
        <w:t>万元，执行数为</w:t>
      </w:r>
      <w:r>
        <w:rPr>
          <w:rFonts w:hint="eastAsia" w:eastAsia="仿宋_GB2312"/>
          <w:color w:val="000000"/>
          <w:sz w:val="32"/>
          <w:szCs w:val="32"/>
        </w:rPr>
        <w:t>0.5</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印发宣传单页、制作条幅、展牌，提高宣传覆盖率，促进居民自觉维护环境卫生，建设和谐美好社区。</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计生小组长补贴经费</w:t>
      </w:r>
      <w:r>
        <w:rPr>
          <w:rFonts w:eastAsia="仿宋_GB2312"/>
          <w:color w:val="000000"/>
          <w:sz w:val="32"/>
          <w:szCs w:val="32"/>
        </w:rPr>
        <w:t>项目综述：根据年初设定的绩效目标，</w:t>
      </w:r>
      <w:r>
        <w:rPr>
          <w:rFonts w:hint="eastAsia" w:eastAsia="仿宋_GB2312"/>
          <w:color w:val="000000"/>
          <w:sz w:val="32"/>
          <w:szCs w:val="32"/>
        </w:rPr>
        <w:t>计生小组长补贴经费</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12.15</w:t>
      </w:r>
      <w:r>
        <w:rPr>
          <w:rFonts w:eastAsia="仿宋_GB2312"/>
          <w:color w:val="000000"/>
          <w:sz w:val="32"/>
          <w:szCs w:val="32"/>
        </w:rPr>
        <w:t>万元，执行数为</w:t>
      </w:r>
      <w:r>
        <w:rPr>
          <w:rFonts w:hint="eastAsia" w:eastAsia="仿宋_GB2312"/>
          <w:color w:val="000000"/>
          <w:sz w:val="32"/>
          <w:szCs w:val="32"/>
        </w:rPr>
        <w:t>12.15</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按时按量的发放计生小组长补贴，提高计生知识覆盖率、有效开展各项计生工作。</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楼门栋长补贴经费</w:t>
      </w:r>
      <w:r>
        <w:rPr>
          <w:rFonts w:eastAsia="仿宋_GB2312"/>
          <w:color w:val="000000"/>
          <w:sz w:val="32"/>
          <w:szCs w:val="32"/>
        </w:rPr>
        <w:t>项目综述：根据年初设定的绩效目标，</w:t>
      </w:r>
      <w:r>
        <w:rPr>
          <w:rFonts w:hint="eastAsia" w:eastAsia="仿宋_GB2312"/>
          <w:color w:val="000000"/>
          <w:sz w:val="32"/>
          <w:szCs w:val="32"/>
        </w:rPr>
        <w:t>楼门栋长补贴经费</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39.45</w:t>
      </w:r>
      <w:r>
        <w:rPr>
          <w:rFonts w:eastAsia="仿宋_GB2312"/>
          <w:color w:val="000000"/>
          <w:sz w:val="32"/>
          <w:szCs w:val="32"/>
        </w:rPr>
        <w:t>万元，执行数为</w:t>
      </w:r>
      <w:r>
        <w:rPr>
          <w:rFonts w:hint="eastAsia" w:eastAsia="仿宋_GB2312"/>
          <w:color w:val="000000"/>
          <w:sz w:val="32"/>
          <w:szCs w:val="32"/>
        </w:rPr>
        <w:t>39.45</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按时按量的发放楼门栋长补贴，促使楼门栋长配合社区居委会工作，降低居民纠纷率， 保障社区工作正常开展。</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社区党组织服务群众专项经费</w:t>
      </w:r>
      <w:r>
        <w:rPr>
          <w:rFonts w:eastAsia="仿宋_GB2312"/>
          <w:color w:val="000000"/>
          <w:sz w:val="32"/>
          <w:szCs w:val="32"/>
        </w:rPr>
        <w:t>项目综述：根据年初设定的绩效目标，</w:t>
      </w:r>
      <w:r>
        <w:rPr>
          <w:rFonts w:hint="eastAsia" w:eastAsia="仿宋_GB2312"/>
          <w:color w:val="000000"/>
          <w:sz w:val="32"/>
          <w:szCs w:val="32"/>
        </w:rPr>
        <w:t>社区党组织服务群众专项经费</w:t>
      </w:r>
      <w:r>
        <w:rPr>
          <w:rFonts w:eastAsia="仿宋_GB2312"/>
          <w:color w:val="000000"/>
          <w:sz w:val="32"/>
          <w:szCs w:val="32"/>
        </w:rPr>
        <w:t>项目绩效自评得分为</w:t>
      </w:r>
      <w:r>
        <w:rPr>
          <w:rFonts w:hint="eastAsia" w:eastAsia="仿宋_GB2312"/>
          <w:color w:val="000000"/>
          <w:sz w:val="32"/>
          <w:szCs w:val="32"/>
        </w:rPr>
        <w:t>99.4</w:t>
      </w:r>
      <w:r>
        <w:rPr>
          <w:rFonts w:eastAsia="仿宋_GB2312"/>
          <w:color w:val="000000"/>
          <w:sz w:val="32"/>
          <w:szCs w:val="32"/>
        </w:rPr>
        <w:t>分（绩效自评表附后）。全年预算数为</w:t>
      </w:r>
      <w:r>
        <w:rPr>
          <w:rFonts w:hint="eastAsia" w:eastAsia="仿宋_GB2312"/>
          <w:color w:val="000000"/>
          <w:sz w:val="32"/>
          <w:szCs w:val="32"/>
        </w:rPr>
        <w:t>200</w:t>
      </w:r>
      <w:r>
        <w:rPr>
          <w:rFonts w:eastAsia="仿宋_GB2312"/>
          <w:color w:val="000000"/>
          <w:sz w:val="32"/>
          <w:szCs w:val="32"/>
        </w:rPr>
        <w:t>万元，执行数为</w:t>
      </w:r>
      <w:r>
        <w:rPr>
          <w:rFonts w:hint="eastAsia" w:eastAsia="仿宋_GB2312"/>
          <w:color w:val="000000"/>
          <w:sz w:val="32"/>
          <w:szCs w:val="32"/>
        </w:rPr>
        <w:t>189.30</w:t>
      </w:r>
      <w:r>
        <w:rPr>
          <w:rFonts w:eastAsia="仿宋_GB2312"/>
          <w:color w:val="000000"/>
          <w:sz w:val="32"/>
          <w:szCs w:val="32"/>
        </w:rPr>
        <w:t>万元，完成预算的</w:t>
      </w:r>
      <w:r>
        <w:rPr>
          <w:rFonts w:hint="eastAsia" w:eastAsia="仿宋_GB2312"/>
          <w:color w:val="000000"/>
          <w:sz w:val="32"/>
          <w:szCs w:val="32"/>
        </w:rPr>
        <w:t>94.7%</w:t>
      </w:r>
      <w:r>
        <w:rPr>
          <w:rFonts w:eastAsia="仿宋_GB2312"/>
          <w:color w:val="000000"/>
          <w:sz w:val="32"/>
          <w:szCs w:val="32"/>
        </w:rPr>
        <w:t>。项目绩效目标完成情况：</w:t>
      </w:r>
      <w:r>
        <w:rPr>
          <w:rFonts w:hint="eastAsia" w:eastAsia="仿宋_GB2312"/>
          <w:color w:val="000000"/>
          <w:sz w:val="32"/>
          <w:szCs w:val="32"/>
        </w:rPr>
        <w:t xml:space="preserve"> 完善10个社区服务设施建设、社区党员团队服务建设、解决居民的迫切需要、为居民提供服务、为物业公司进行补贴，降低群众问题反映率、提高群众满意度。</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社区工作经费</w:t>
      </w:r>
      <w:r>
        <w:rPr>
          <w:rFonts w:eastAsia="仿宋_GB2312"/>
          <w:color w:val="000000"/>
          <w:sz w:val="32"/>
          <w:szCs w:val="32"/>
        </w:rPr>
        <w:t>项目综述：根据年初设定的绩效目标，</w:t>
      </w:r>
      <w:r>
        <w:rPr>
          <w:rFonts w:hint="eastAsia" w:eastAsia="仿宋_GB2312"/>
          <w:color w:val="000000"/>
          <w:sz w:val="32"/>
          <w:szCs w:val="32"/>
        </w:rPr>
        <w:t>社区工作经费</w:t>
      </w:r>
      <w:r>
        <w:rPr>
          <w:rFonts w:eastAsia="仿宋_GB2312"/>
          <w:color w:val="000000"/>
          <w:sz w:val="32"/>
          <w:szCs w:val="32"/>
        </w:rPr>
        <w:t>项目绩效自评得分为</w:t>
      </w:r>
      <w:r>
        <w:rPr>
          <w:rFonts w:hint="eastAsia" w:eastAsia="仿宋_GB2312"/>
          <w:color w:val="000000"/>
          <w:sz w:val="32"/>
          <w:szCs w:val="32"/>
        </w:rPr>
        <w:t>99.9</w:t>
      </w:r>
      <w:r>
        <w:rPr>
          <w:rFonts w:eastAsia="仿宋_GB2312"/>
          <w:color w:val="000000"/>
          <w:sz w:val="32"/>
          <w:szCs w:val="32"/>
        </w:rPr>
        <w:t>分（绩效自评表附后）。全年预算数为</w:t>
      </w:r>
      <w:r>
        <w:rPr>
          <w:rFonts w:hint="eastAsia" w:eastAsia="仿宋_GB2312"/>
          <w:color w:val="000000"/>
          <w:sz w:val="32"/>
          <w:szCs w:val="32"/>
        </w:rPr>
        <w:t>111.2</w:t>
      </w:r>
      <w:r>
        <w:rPr>
          <w:rFonts w:eastAsia="仿宋_GB2312"/>
          <w:color w:val="000000"/>
          <w:sz w:val="32"/>
          <w:szCs w:val="32"/>
        </w:rPr>
        <w:t>万元，执行数为</w:t>
      </w:r>
      <w:r>
        <w:rPr>
          <w:rFonts w:hint="eastAsia" w:eastAsia="仿宋_GB2312"/>
          <w:color w:val="000000"/>
          <w:sz w:val="32"/>
          <w:szCs w:val="32"/>
        </w:rPr>
        <w:t>111.11</w:t>
      </w:r>
      <w:r>
        <w:rPr>
          <w:rFonts w:eastAsia="仿宋_GB2312"/>
          <w:color w:val="000000"/>
          <w:sz w:val="32"/>
          <w:szCs w:val="32"/>
        </w:rPr>
        <w:t>万元，完成预算的</w:t>
      </w:r>
      <w:r>
        <w:rPr>
          <w:rFonts w:hint="eastAsia" w:eastAsia="仿宋_GB2312"/>
          <w:color w:val="000000"/>
          <w:sz w:val="32"/>
          <w:szCs w:val="32"/>
        </w:rPr>
        <w:t>99.9%</w:t>
      </w:r>
      <w:r>
        <w:rPr>
          <w:rFonts w:eastAsia="仿宋_GB2312"/>
          <w:color w:val="000000"/>
          <w:sz w:val="32"/>
          <w:szCs w:val="32"/>
        </w:rPr>
        <w:t>。项目绩效目标完成情况：</w:t>
      </w:r>
      <w:r>
        <w:rPr>
          <w:rFonts w:hint="eastAsia" w:eastAsia="仿宋_GB2312"/>
          <w:color w:val="000000"/>
          <w:sz w:val="32"/>
          <w:szCs w:val="32"/>
        </w:rPr>
        <w:t>完成10个社区日常工作需求、为居民提供服务，提高正常工作开展率，提高居民满意度。</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食药监所、安监站经费</w:t>
      </w:r>
      <w:r>
        <w:rPr>
          <w:rFonts w:eastAsia="仿宋_GB2312"/>
          <w:color w:val="000000"/>
          <w:sz w:val="32"/>
          <w:szCs w:val="32"/>
        </w:rPr>
        <w:t>项目综述：根据年初设定的绩效目标，</w:t>
      </w:r>
      <w:r>
        <w:rPr>
          <w:rFonts w:hint="eastAsia" w:eastAsia="仿宋_GB2312"/>
          <w:color w:val="000000"/>
          <w:sz w:val="32"/>
          <w:szCs w:val="32"/>
        </w:rPr>
        <w:t>食药监所、安监站经费</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0.5</w:t>
      </w:r>
      <w:r>
        <w:rPr>
          <w:rFonts w:eastAsia="仿宋_GB2312"/>
          <w:color w:val="000000"/>
          <w:sz w:val="32"/>
          <w:szCs w:val="32"/>
        </w:rPr>
        <w:t>万元，执行数为</w:t>
      </w:r>
      <w:r>
        <w:rPr>
          <w:rFonts w:hint="eastAsia" w:eastAsia="仿宋_GB2312"/>
          <w:color w:val="000000"/>
          <w:sz w:val="32"/>
          <w:szCs w:val="32"/>
        </w:rPr>
        <w:t>0.5</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通过向小区居民印发宣传册，普及食品药品安全常识，促进安全生产。</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退役军人管理服务站经费</w:t>
      </w:r>
      <w:r>
        <w:rPr>
          <w:rFonts w:eastAsia="仿宋_GB2312"/>
          <w:color w:val="000000"/>
          <w:sz w:val="32"/>
          <w:szCs w:val="32"/>
        </w:rPr>
        <w:t>项目综述：根据年初设定的绩效目标，</w:t>
      </w:r>
      <w:r>
        <w:rPr>
          <w:rFonts w:hint="eastAsia" w:eastAsia="仿宋_GB2312"/>
          <w:color w:val="000000"/>
          <w:sz w:val="32"/>
          <w:szCs w:val="32"/>
        </w:rPr>
        <w:t>退役军人管理服务站经费</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1.00</w:t>
      </w:r>
      <w:r>
        <w:rPr>
          <w:rFonts w:eastAsia="仿宋_GB2312"/>
          <w:color w:val="000000"/>
          <w:sz w:val="32"/>
          <w:szCs w:val="32"/>
        </w:rPr>
        <w:t>万元，执行数为</w:t>
      </w:r>
      <w:r>
        <w:rPr>
          <w:rFonts w:hint="eastAsia" w:eastAsia="仿宋_GB2312"/>
          <w:color w:val="000000"/>
          <w:sz w:val="32"/>
          <w:szCs w:val="32"/>
        </w:rPr>
        <w:t>1.00</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印发宣传资料普及政策方针，切实解决退役军人反映问题，走访慰问，为退役军人送温暖。</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2019年省级宣传文化（发展）专项资金</w:t>
      </w:r>
      <w:r>
        <w:rPr>
          <w:rFonts w:eastAsia="仿宋_GB2312"/>
          <w:color w:val="000000"/>
          <w:sz w:val="32"/>
          <w:szCs w:val="32"/>
        </w:rPr>
        <w:t>项目综述：根据年初设定的绩效目标，</w:t>
      </w:r>
      <w:r>
        <w:rPr>
          <w:rFonts w:hint="eastAsia" w:eastAsia="仿宋_GB2312"/>
          <w:color w:val="000000"/>
          <w:sz w:val="32"/>
          <w:szCs w:val="32"/>
        </w:rPr>
        <w:t>2019年省级宣传文化（发展）专项资金</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3.00</w:t>
      </w:r>
      <w:r>
        <w:rPr>
          <w:rFonts w:eastAsia="仿宋_GB2312"/>
          <w:color w:val="000000"/>
          <w:sz w:val="32"/>
          <w:szCs w:val="32"/>
        </w:rPr>
        <w:t>万元，执行数为</w:t>
      </w:r>
      <w:r>
        <w:rPr>
          <w:rFonts w:hint="eastAsia" w:eastAsia="仿宋_GB2312"/>
          <w:color w:val="000000"/>
          <w:sz w:val="32"/>
          <w:szCs w:val="32"/>
        </w:rPr>
        <w:t>3.00</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建设荣昌苑社区文化家园，进一步完善活动室，为居民开展活动提供便利。</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社区工作人员补贴</w:t>
      </w:r>
      <w:r>
        <w:rPr>
          <w:rFonts w:eastAsia="仿宋_GB2312"/>
          <w:color w:val="000000"/>
          <w:sz w:val="32"/>
          <w:szCs w:val="32"/>
        </w:rPr>
        <w:t>项目综述：根据年初设定的绩效目标，</w:t>
      </w:r>
      <w:r>
        <w:rPr>
          <w:rFonts w:hint="eastAsia" w:eastAsia="仿宋_GB2312"/>
          <w:color w:val="000000"/>
          <w:sz w:val="32"/>
          <w:szCs w:val="32"/>
        </w:rPr>
        <w:t>社区工作人员补贴</w:t>
      </w:r>
      <w:r>
        <w:rPr>
          <w:rFonts w:eastAsia="仿宋_GB2312"/>
          <w:color w:val="000000"/>
          <w:sz w:val="32"/>
          <w:szCs w:val="32"/>
        </w:rPr>
        <w:t>项目绩效自评得分为</w:t>
      </w:r>
      <w:r>
        <w:rPr>
          <w:rFonts w:hint="eastAsia" w:eastAsia="仿宋_GB2312"/>
          <w:color w:val="000000"/>
          <w:sz w:val="32"/>
          <w:szCs w:val="32"/>
        </w:rPr>
        <w:t>99.9</w:t>
      </w:r>
      <w:r>
        <w:rPr>
          <w:rFonts w:eastAsia="仿宋_GB2312"/>
          <w:color w:val="000000"/>
          <w:sz w:val="32"/>
          <w:szCs w:val="32"/>
        </w:rPr>
        <w:t>分（绩效自评表附后）。全年预算数为</w:t>
      </w:r>
      <w:r>
        <w:rPr>
          <w:rFonts w:hint="eastAsia" w:eastAsia="仿宋_GB2312"/>
          <w:color w:val="000000"/>
          <w:sz w:val="32"/>
          <w:szCs w:val="32"/>
        </w:rPr>
        <w:t>37.8</w:t>
      </w:r>
      <w:r>
        <w:rPr>
          <w:rFonts w:eastAsia="仿宋_GB2312"/>
          <w:color w:val="000000"/>
          <w:sz w:val="32"/>
          <w:szCs w:val="32"/>
        </w:rPr>
        <w:t>万元，执行数为</w:t>
      </w:r>
      <w:r>
        <w:rPr>
          <w:rFonts w:hint="eastAsia" w:eastAsia="仿宋_GB2312"/>
          <w:color w:val="000000"/>
          <w:sz w:val="32"/>
          <w:szCs w:val="32"/>
        </w:rPr>
        <w:t>37.6</w:t>
      </w:r>
      <w:r>
        <w:rPr>
          <w:rFonts w:eastAsia="仿宋_GB2312"/>
          <w:color w:val="000000"/>
          <w:sz w:val="32"/>
          <w:szCs w:val="32"/>
        </w:rPr>
        <w:t>万元，完成预算的</w:t>
      </w:r>
      <w:r>
        <w:rPr>
          <w:rFonts w:hint="eastAsia" w:eastAsia="仿宋_GB2312"/>
          <w:color w:val="000000"/>
          <w:sz w:val="32"/>
          <w:szCs w:val="32"/>
        </w:rPr>
        <w:t>99.5%</w:t>
      </w:r>
      <w:r>
        <w:rPr>
          <w:rFonts w:eastAsia="仿宋_GB2312"/>
          <w:color w:val="000000"/>
          <w:sz w:val="32"/>
          <w:szCs w:val="32"/>
        </w:rPr>
        <w:t>。项目绩效目标完成情况：</w:t>
      </w:r>
      <w:r>
        <w:rPr>
          <w:rFonts w:hint="eastAsia" w:eastAsia="仿宋_GB2312"/>
          <w:color w:val="000000"/>
          <w:sz w:val="32"/>
          <w:szCs w:val="32"/>
        </w:rPr>
        <w:t>按时按量发放社区工作者补贴，促进社区工作的高效完成，维护生活小区环境，助力和谐小区。</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政府向社会购买服务专项经费</w:t>
      </w:r>
      <w:r>
        <w:rPr>
          <w:rFonts w:eastAsia="仿宋_GB2312"/>
          <w:color w:val="000000"/>
          <w:sz w:val="32"/>
          <w:szCs w:val="32"/>
        </w:rPr>
        <w:t>项目综述：根据年初设定的绩效目标，</w:t>
      </w:r>
      <w:r>
        <w:rPr>
          <w:rFonts w:hint="eastAsia" w:eastAsia="仿宋_GB2312"/>
          <w:color w:val="000000"/>
          <w:sz w:val="32"/>
          <w:szCs w:val="32"/>
        </w:rPr>
        <w:t>政府向社会购买服务专项经费</w:t>
      </w:r>
      <w:r>
        <w:rPr>
          <w:rFonts w:eastAsia="仿宋_GB2312"/>
          <w:color w:val="000000"/>
          <w:sz w:val="32"/>
          <w:szCs w:val="32"/>
        </w:rPr>
        <w:t>项目绩效自评得分为</w:t>
      </w:r>
      <w:r>
        <w:rPr>
          <w:rFonts w:hint="eastAsia" w:eastAsia="仿宋_GB2312"/>
          <w:color w:val="000000"/>
          <w:sz w:val="32"/>
          <w:szCs w:val="32"/>
        </w:rPr>
        <w:t>99.4</w:t>
      </w:r>
      <w:r>
        <w:rPr>
          <w:rFonts w:eastAsia="仿宋_GB2312"/>
          <w:color w:val="000000"/>
          <w:sz w:val="32"/>
          <w:szCs w:val="32"/>
        </w:rPr>
        <w:t>分（绩效自评表附后）。全年预算数为</w:t>
      </w:r>
      <w:r>
        <w:rPr>
          <w:rFonts w:hint="eastAsia" w:eastAsia="仿宋_GB2312"/>
          <w:color w:val="000000"/>
          <w:sz w:val="32"/>
          <w:szCs w:val="32"/>
        </w:rPr>
        <w:t>221.38</w:t>
      </w:r>
      <w:r>
        <w:rPr>
          <w:rFonts w:eastAsia="仿宋_GB2312"/>
          <w:color w:val="000000"/>
          <w:sz w:val="32"/>
          <w:szCs w:val="32"/>
        </w:rPr>
        <w:t>万元，执行数为</w:t>
      </w:r>
      <w:r>
        <w:rPr>
          <w:rFonts w:hint="eastAsia" w:eastAsia="仿宋_GB2312"/>
          <w:color w:val="000000"/>
          <w:sz w:val="32"/>
          <w:szCs w:val="32"/>
        </w:rPr>
        <w:t>210.12</w:t>
      </w:r>
      <w:r>
        <w:rPr>
          <w:rFonts w:eastAsia="仿宋_GB2312"/>
          <w:color w:val="000000"/>
          <w:sz w:val="32"/>
          <w:szCs w:val="32"/>
        </w:rPr>
        <w:t>万元，完成预算的</w:t>
      </w:r>
      <w:r>
        <w:rPr>
          <w:rFonts w:hint="eastAsia" w:eastAsia="仿宋_GB2312"/>
          <w:color w:val="000000"/>
          <w:sz w:val="32"/>
          <w:szCs w:val="32"/>
        </w:rPr>
        <w:t>94.9%</w:t>
      </w:r>
      <w:r>
        <w:rPr>
          <w:rFonts w:eastAsia="仿宋_GB2312"/>
          <w:color w:val="000000"/>
          <w:sz w:val="32"/>
          <w:szCs w:val="32"/>
        </w:rPr>
        <w:t>。项目绩效目标完成情况：</w:t>
      </w:r>
      <w:r>
        <w:rPr>
          <w:rFonts w:hint="eastAsia" w:eastAsia="仿宋_GB2312"/>
          <w:color w:val="000000"/>
          <w:sz w:val="32"/>
          <w:szCs w:val="32"/>
        </w:rPr>
        <w:t>通过按时按量发放政府购买人员工资，提高工作完成率、提升业务能力、提高小区居民对社区服务的满意度。</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创建省级文明县城专项资金</w:t>
      </w:r>
      <w:r>
        <w:rPr>
          <w:rFonts w:eastAsia="仿宋_GB2312"/>
          <w:color w:val="000000"/>
          <w:sz w:val="32"/>
          <w:szCs w:val="32"/>
        </w:rPr>
        <w:t>项目综述：根据年初设定的绩效目标，</w:t>
      </w:r>
      <w:r>
        <w:rPr>
          <w:rFonts w:hint="eastAsia" w:eastAsia="仿宋_GB2312"/>
          <w:color w:val="000000"/>
          <w:sz w:val="32"/>
          <w:szCs w:val="32"/>
        </w:rPr>
        <w:t>创建省级文明县城专项资金</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15</w:t>
      </w:r>
      <w:r>
        <w:rPr>
          <w:rFonts w:eastAsia="仿宋_GB2312"/>
          <w:color w:val="000000"/>
          <w:sz w:val="32"/>
          <w:szCs w:val="32"/>
        </w:rPr>
        <w:t>万元，执行数为</w:t>
      </w:r>
      <w:r>
        <w:rPr>
          <w:rFonts w:hint="eastAsia" w:eastAsia="仿宋_GB2312"/>
          <w:color w:val="000000"/>
          <w:sz w:val="32"/>
          <w:szCs w:val="32"/>
        </w:rPr>
        <w:t>15</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根据创城工作需要，购置创城工作活动设备，完成各项创城工作；制作宣传牌、宣创页等印刷品，传播正能量，进一步提升居民综合素质。</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“气代煤”工程</w:t>
      </w:r>
      <w:r>
        <w:rPr>
          <w:rFonts w:eastAsia="仿宋_GB2312"/>
          <w:color w:val="000000"/>
          <w:sz w:val="32"/>
          <w:szCs w:val="32"/>
        </w:rPr>
        <w:t>项目综述：根据年初设定的绩效目标，</w:t>
      </w:r>
      <w:r>
        <w:rPr>
          <w:rFonts w:hint="eastAsia" w:eastAsia="仿宋_GB2312"/>
          <w:color w:val="000000"/>
          <w:sz w:val="32"/>
          <w:szCs w:val="32"/>
        </w:rPr>
        <w:t>“气代煤”工程</w:t>
      </w:r>
      <w:r>
        <w:rPr>
          <w:rFonts w:eastAsia="仿宋_GB2312"/>
          <w:color w:val="000000"/>
          <w:sz w:val="32"/>
          <w:szCs w:val="32"/>
        </w:rPr>
        <w:t>项目绩效自评得分为</w:t>
      </w:r>
      <w:r>
        <w:rPr>
          <w:rFonts w:hint="eastAsia" w:eastAsia="仿宋_GB2312"/>
          <w:color w:val="000000"/>
          <w:sz w:val="32"/>
          <w:szCs w:val="32"/>
        </w:rPr>
        <w:t>99.9</w:t>
      </w:r>
      <w:r>
        <w:rPr>
          <w:rFonts w:eastAsia="仿宋_GB2312"/>
          <w:color w:val="000000"/>
          <w:sz w:val="32"/>
          <w:szCs w:val="32"/>
        </w:rPr>
        <w:t>分（绩效自评表附后）。全年预算数为</w:t>
      </w:r>
      <w:r>
        <w:rPr>
          <w:rFonts w:hint="eastAsia" w:eastAsia="仿宋_GB2312"/>
          <w:color w:val="000000"/>
          <w:sz w:val="32"/>
          <w:szCs w:val="32"/>
        </w:rPr>
        <w:t>325.3</w:t>
      </w:r>
      <w:r>
        <w:rPr>
          <w:rFonts w:eastAsia="仿宋_GB2312"/>
          <w:color w:val="000000"/>
          <w:sz w:val="32"/>
          <w:szCs w:val="32"/>
        </w:rPr>
        <w:t>万元，执行数为</w:t>
      </w:r>
      <w:r>
        <w:rPr>
          <w:rFonts w:hint="eastAsia" w:eastAsia="仿宋_GB2312"/>
          <w:color w:val="000000"/>
          <w:sz w:val="32"/>
          <w:szCs w:val="32"/>
        </w:rPr>
        <w:t>324.82</w:t>
      </w:r>
      <w:r>
        <w:rPr>
          <w:rFonts w:eastAsia="仿宋_GB2312"/>
          <w:color w:val="000000"/>
          <w:sz w:val="32"/>
          <w:szCs w:val="32"/>
        </w:rPr>
        <w:t>万元，完成预算的</w:t>
      </w:r>
      <w:r>
        <w:rPr>
          <w:rFonts w:hint="eastAsia" w:eastAsia="仿宋_GB2312"/>
          <w:color w:val="000000"/>
          <w:sz w:val="32"/>
          <w:szCs w:val="32"/>
        </w:rPr>
        <w:t>99.9%</w:t>
      </w:r>
      <w:r>
        <w:rPr>
          <w:rFonts w:eastAsia="仿宋_GB2312"/>
          <w:color w:val="000000"/>
          <w:sz w:val="32"/>
          <w:szCs w:val="32"/>
        </w:rPr>
        <w:t>。项目绩效目标完成情况：</w:t>
      </w:r>
      <w:r>
        <w:rPr>
          <w:rFonts w:hint="eastAsia" w:eastAsia="仿宋_GB2312"/>
          <w:color w:val="000000"/>
          <w:sz w:val="32"/>
          <w:szCs w:val="32"/>
        </w:rPr>
        <w:t>做好辖区内“气代煤”补贴户数的统计核对工作，清算“气代煤”炉具安装补贴资金，将补贴资金发放到位。</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城区老旧住宅小区公共基础设施和背街小巷道路改造提升工程</w:t>
      </w:r>
      <w:r>
        <w:rPr>
          <w:rFonts w:eastAsia="仿宋_GB2312"/>
          <w:color w:val="000000"/>
          <w:sz w:val="32"/>
          <w:szCs w:val="32"/>
        </w:rPr>
        <w:t>项目综述：根据年初设定的绩效目标，</w:t>
      </w:r>
      <w:r>
        <w:rPr>
          <w:rFonts w:hint="eastAsia" w:eastAsia="仿宋_GB2312"/>
          <w:color w:val="000000"/>
          <w:sz w:val="32"/>
          <w:szCs w:val="32"/>
        </w:rPr>
        <w:t>城区老旧住宅小区公共基础设施和背街小巷道路改造提升工程</w:t>
      </w:r>
      <w:r>
        <w:rPr>
          <w:rFonts w:eastAsia="仿宋_GB2312"/>
          <w:color w:val="000000"/>
          <w:sz w:val="32"/>
          <w:szCs w:val="32"/>
        </w:rPr>
        <w:t>项目绩效自评得分为</w:t>
      </w:r>
      <w:r>
        <w:rPr>
          <w:rFonts w:hint="eastAsia" w:eastAsia="仿宋_GB2312"/>
          <w:color w:val="000000"/>
          <w:sz w:val="32"/>
          <w:szCs w:val="32"/>
        </w:rPr>
        <w:t>99.9</w:t>
      </w:r>
      <w:r>
        <w:rPr>
          <w:rFonts w:eastAsia="仿宋_GB2312"/>
          <w:color w:val="000000"/>
          <w:sz w:val="32"/>
          <w:szCs w:val="32"/>
        </w:rPr>
        <w:t>分（绩效自评表附后）。全年预算数为</w:t>
      </w:r>
      <w:r>
        <w:rPr>
          <w:rFonts w:hint="eastAsia" w:eastAsia="仿宋_GB2312"/>
          <w:color w:val="000000"/>
          <w:sz w:val="32"/>
          <w:szCs w:val="32"/>
        </w:rPr>
        <w:t>1021</w:t>
      </w:r>
      <w:r>
        <w:rPr>
          <w:rFonts w:eastAsia="仿宋_GB2312"/>
          <w:color w:val="000000"/>
          <w:sz w:val="32"/>
          <w:szCs w:val="32"/>
        </w:rPr>
        <w:t>万元，执行数为</w:t>
      </w:r>
      <w:r>
        <w:rPr>
          <w:rFonts w:hint="eastAsia" w:eastAsia="仿宋_GB2312"/>
          <w:color w:val="000000"/>
          <w:sz w:val="32"/>
          <w:szCs w:val="32"/>
        </w:rPr>
        <w:t>1020.45</w:t>
      </w:r>
      <w:r>
        <w:rPr>
          <w:rFonts w:eastAsia="仿宋_GB2312"/>
          <w:color w:val="000000"/>
          <w:sz w:val="32"/>
          <w:szCs w:val="32"/>
        </w:rPr>
        <w:t>万元，完成预算的</w:t>
      </w:r>
      <w:r>
        <w:rPr>
          <w:rFonts w:hint="eastAsia" w:eastAsia="仿宋_GB2312"/>
          <w:color w:val="000000"/>
          <w:sz w:val="32"/>
          <w:szCs w:val="32"/>
        </w:rPr>
        <w:t>99.9%</w:t>
      </w:r>
      <w:r>
        <w:rPr>
          <w:rFonts w:eastAsia="仿宋_GB2312"/>
          <w:color w:val="000000"/>
          <w:sz w:val="32"/>
          <w:szCs w:val="32"/>
        </w:rPr>
        <w:t>。项目绩效目标完成情况：</w:t>
      </w:r>
      <w:r>
        <w:rPr>
          <w:rFonts w:hint="eastAsia" w:eastAsia="仿宋_GB2312"/>
          <w:color w:val="000000"/>
          <w:sz w:val="32"/>
          <w:szCs w:val="32"/>
        </w:rPr>
        <w:t>通过项目的开展按质按量完成小区改造工程，完善基础设施建设，提高小区居民满意度，打造和谐小区。</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老旧小区二期工程前期费用</w:t>
      </w:r>
      <w:r>
        <w:rPr>
          <w:rFonts w:eastAsia="仿宋_GB2312"/>
          <w:color w:val="000000"/>
          <w:sz w:val="32"/>
          <w:szCs w:val="32"/>
        </w:rPr>
        <w:t>项目综述：根据年初设定的绩效目标，</w:t>
      </w:r>
      <w:r>
        <w:rPr>
          <w:rFonts w:hint="eastAsia" w:eastAsia="仿宋_GB2312"/>
          <w:color w:val="000000"/>
          <w:sz w:val="32"/>
          <w:szCs w:val="32"/>
        </w:rPr>
        <w:t>老旧小区二期工程前期费用</w:t>
      </w:r>
      <w:r>
        <w:rPr>
          <w:rFonts w:eastAsia="仿宋_GB2312"/>
          <w:color w:val="000000"/>
          <w:sz w:val="32"/>
          <w:szCs w:val="32"/>
        </w:rPr>
        <w:t>项目绩效自评得分为</w:t>
      </w:r>
      <w:r>
        <w:rPr>
          <w:rFonts w:hint="eastAsia" w:eastAsia="仿宋_GB2312"/>
          <w:color w:val="000000"/>
          <w:sz w:val="32"/>
          <w:szCs w:val="32"/>
        </w:rPr>
        <w:t>99.6</w:t>
      </w:r>
      <w:r>
        <w:rPr>
          <w:rFonts w:eastAsia="仿宋_GB2312"/>
          <w:color w:val="000000"/>
          <w:sz w:val="32"/>
          <w:szCs w:val="32"/>
        </w:rPr>
        <w:t>分（绩效自评表附后）。全年预算数为</w:t>
      </w:r>
      <w:r>
        <w:rPr>
          <w:rFonts w:hint="eastAsia" w:eastAsia="仿宋_GB2312"/>
          <w:color w:val="000000"/>
          <w:sz w:val="32"/>
          <w:szCs w:val="32"/>
        </w:rPr>
        <w:t>40.51</w:t>
      </w:r>
      <w:r>
        <w:rPr>
          <w:rFonts w:eastAsia="仿宋_GB2312"/>
          <w:color w:val="000000"/>
          <w:sz w:val="32"/>
          <w:szCs w:val="32"/>
        </w:rPr>
        <w:t>万元，执行数为</w:t>
      </w:r>
      <w:r>
        <w:rPr>
          <w:rFonts w:hint="eastAsia" w:eastAsia="仿宋_GB2312"/>
          <w:color w:val="000000"/>
          <w:sz w:val="32"/>
          <w:szCs w:val="32"/>
        </w:rPr>
        <w:t>38.99</w:t>
      </w:r>
      <w:r>
        <w:rPr>
          <w:rFonts w:eastAsia="仿宋_GB2312"/>
          <w:color w:val="000000"/>
          <w:sz w:val="32"/>
          <w:szCs w:val="32"/>
        </w:rPr>
        <w:t>万元，完成预算的</w:t>
      </w:r>
      <w:r>
        <w:rPr>
          <w:rFonts w:hint="eastAsia" w:eastAsia="仿宋_GB2312"/>
          <w:color w:val="000000"/>
          <w:sz w:val="32"/>
          <w:szCs w:val="32"/>
        </w:rPr>
        <w:t>96.2%</w:t>
      </w:r>
      <w:r>
        <w:rPr>
          <w:rFonts w:eastAsia="仿宋_GB2312"/>
          <w:color w:val="000000"/>
          <w:sz w:val="32"/>
          <w:szCs w:val="32"/>
        </w:rPr>
        <w:t>。项目绩效目标完成情况：</w:t>
      </w:r>
      <w:r>
        <w:rPr>
          <w:rFonts w:hint="eastAsia" w:eastAsia="仿宋_GB2312"/>
          <w:color w:val="000000"/>
          <w:sz w:val="32"/>
          <w:szCs w:val="32"/>
        </w:rPr>
        <w:t>为小区改造聘请第三方进行监理，保证工程质量，进一步完善基础设施建设，提高小区居民满意度，打造和谐小区。</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老旧小区改造二期工程</w:t>
      </w:r>
      <w:r>
        <w:rPr>
          <w:rFonts w:eastAsia="仿宋_GB2312"/>
          <w:color w:val="000000"/>
          <w:sz w:val="32"/>
          <w:szCs w:val="32"/>
        </w:rPr>
        <w:t>项目综述：根据年初设定的绩效目标，</w:t>
      </w:r>
      <w:r>
        <w:rPr>
          <w:rFonts w:hint="eastAsia" w:eastAsia="仿宋_GB2312"/>
          <w:color w:val="000000"/>
          <w:sz w:val="32"/>
          <w:szCs w:val="32"/>
        </w:rPr>
        <w:t>老旧小区改造二期工程</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572.95</w:t>
      </w:r>
      <w:r>
        <w:rPr>
          <w:rFonts w:eastAsia="仿宋_GB2312"/>
          <w:color w:val="000000"/>
          <w:sz w:val="32"/>
          <w:szCs w:val="32"/>
        </w:rPr>
        <w:t>万元，执行数为</w:t>
      </w:r>
      <w:r>
        <w:rPr>
          <w:rFonts w:hint="eastAsia" w:eastAsia="仿宋_GB2312"/>
          <w:color w:val="000000"/>
          <w:sz w:val="32"/>
          <w:szCs w:val="32"/>
        </w:rPr>
        <w:t>572.95</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通过完成小区改造工程，进一步完善基础设施建设，提高小区居民满意度，打造和谐小区。</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智慧社区维护费</w:t>
      </w:r>
      <w:r>
        <w:rPr>
          <w:rFonts w:eastAsia="仿宋_GB2312"/>
          <w:color w:val="000000"/>
          <w:sz w:val="32"/>
          <w:szCs w:val="32"/>
        </w:rPr>
        <w:t>项目综述：根据年初设定的绩效目标，</w:t>
      </w:r>
      <w:r>
        <w:rPr>
          <w:rFonts w:hint="eastAsia" w:eastAsia="仿宋_GB2312"/>
          <w:color w:val="000000"/>
          <w:sz w:val="32"/>
          <w:szCs w:val="32"/>
        </w:rPr>
        <w:t>智慧社区维护费</w:t>
      </w:r>
      <w:r>
        <w:rPr>
          <w:rFonts w:eastAsia="仿宋_GB2312"/>
          <w:color w:val="000000"/>
          <w:sz w:val="32"/>
          <w:szCs w:val="32"/>
        </w:rPr>
        <w:t>项目绩效自评得分为</w:t>
      </w:r>
      <w:r>
        <w:rPr>
          <w:rFonts w:hint="eastAsia" w:eastAsia="仿宋_GB2312"/>
          <w:color w:val="000000"/>
          <w:sz w:val="32"/>
          <w:szCs w:val="32"/>
        </w:rPr>
        <w:t>99</w:t>
      </w:r>
      <w:r>
        <w:rPr>
          <w:rFonts w:eastAsia="仿宋_GB2312"/>
          <w:color w:val="000000"/>
          <w:sz w:val="32"/>
          <w:szCs w:val="32"/>
        </w:rPr>
        <w:t>分（绩效自评表附后）。全年预算数为</w:t>
      </w:r>
      <w:r>
        <w:rPr>
          <w:rFonts w:hint="eastAsia" w:eastAsia="仿宋_GB2312"/>
          <w:color w:val="000000"/>
          <w:sz w:val="32"/>
          <w:szCs w:val="32"/>
        </w:rPr>
        <w:t>49.5</w:t>
      </w:r>
      <w:r>
        <w:rPr>
          <w:rFonts w:eastAsia="仿宋_GB2312"/>
          <w:color w:val="000000"/>
          <w:sz w:val="32"/>
          <w:szCs w:val="32"/>
        </w:rPr>
        <w:t>万元，执行数为</w:t>
      </w:r>
      <w:r>
        <w:rPr>
          <w:rFonts w:hint="eastAsia" w:eastAsia="仿宋_GB2312"/>
          <w:color w:val="000000"/>
          <w:sz w:val="32"/>
          <w:szCs w:val="32"/>
        </w:rPr>
        <w:t>44.55</w:t>
      </w:r>
      <w:r>
        <w:rPr>
          <w:rFonts w:eastAsia="仿宋_GB2312"/>
          <w:color w:val="000000"/>
          <w:sz w:val="32"/>
          <w:szCs w:val="32"/>
        </w:rPr>
        <w:t>万元，完成预算的</w:t>
      </w:r>
      <w:r>
        <w:rPr>
          <w:rFonts w:hint="eastAsia" w:eastAsia="仿宋_GB2312"/>
          <w:color w:val="000000"/>
          <w:sz w:val="32"/>
          <w:szCs w:val="32"/>
        </w:rPr>
        <w:t>90%</w:t>
      </w:r>
      <w:r>
        <w:rPr>
          <w:rFonts w:eastAsia="仿宋_GB2312"/>
          <w:color w:val="000000"/>
          <w:sz w:val="32"/>
          <w:szCs w:val="32"/>
        </w:rPr>
        <w:t>。项目绩效目标完成情况：</w:t>
      </w:r>
      <w:r>
        <w:rPr>
          <w:rFonts w:hint="eastAsia" w:eastAsia="仿宋_GB2312"/>
          <w:color w:val="000000"/>
          <w:sz w:val="32"/>
          <w:szCs w:val="32"/>
        </w:rPr>
        <w:t>进一步提升社区信息化建设水平,排除系统故障，降低非正常停机率，减少档案检索时间和响应时间，保证系统正常运行。</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网格员补贴经费</w:t>
      </w:r>
      <w:r>
        <w:rPr>
          <w:rFonts w:eastAsia="仿宋_GB2312"/>
          <w:color w:val="000000"/>
          <w:sz w:val="32"/>
          <w:szCs w:val="32"/>
        </w:rPr>
        <w:t>项目综述：根据年初设定的绩效目标，</w:t>
      </w:r>
      <w:r>
        <w:rPr>
          <w:rFonts w:hint="eastAsia" w:eastAsia="仿宋_GB2312"/>
          <w:color w:val="000000"/>
          <w:sz w:val="32"/>
          <w:szCs w:val="32"/>
        </w:rPr>
        <w:t>网格员补贴经费</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47.1</w:t>
      </w:r>
      <w:r>
        <w:rPr>
          <w:rFonts w:eastAsia="仿宋_GB2312"/>
          <w:color w:val="000000"/>
          <w:sz w:val="32"/>
          <w:szCs w:val="32"/>
        </w:rPr>
        <w:t>万元，执行数为</w:t>
      </w:r>
      <w:r>
        <w:rPr>
          <w:rFonts w:hint="eastAsia" w:eastAsia="仿宋_GB2312"/>
          <w:color w:val="000000"/>
          <w:sz w:val="32"/>
          <w:szCs w:val="32"/>
        </w:rPr>
        <w:t>47.1</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通过项目的开展，按时按量发放网格员补贴，提高工作完成率和服务水平，提高小区居民满意度。</w:t>
      </w:r>
    </w:p>
    <w:p>
      <w:pPr>
        <w:widowControl/>
        <w:numPr>
          <w:ilvl w:val="0"/>
          <w:numId w:val="2"/>
        </w:numPr>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城区内老旧小区垃圾清理清运费</w:t>
      </w:r>
      <w:r>
        <w:rPr>
          <w:rFonts w:eastAsia="仿宋_GB2312"/>
          <w:color w:val="000000"/>
          <w:sz w:val="32"/>
          <w:szCs w:val="32"/>
        </w:rPr>
        <w:t>项目综述：根据年初设定的绩效目标，</w:t>
      </w:r>
      <w:r>
        <w:rPr>
          <w:rFonts w:hint="eastAsia" w:eastAsia="仿宋_GB2312"/>
          <w:color w:val="000000"/>
          <w:sz w:val="32"/>
          <w:szCs w:val="32"/>
        </w:rPr>
        <w:t>城区内老旧小区垃圾清理清运费</w:t>
      </w:r>
      <w:r>
        <w:rPr>
          <w:rFonts w:eastAsia="仿宋_GB2312"/>
          <w:color w:val="000000"/>
          <w:sz w:val="32"/>
          <w:szCs w:val="32"/>
        </w:rPr>
        <w:t>项目绩效自评得分为</w:t>
      </w:r>
      <w:r>
        <w:rPr>
          <w:rFonts w:hint="eastAsia" w:eastAsia="仿宋_GB2312"/>
          <w:color w:val="000000"/>
          <w:sz w:val="32"/>
          <w:szCs w:val="32"/>
        </w:rPr>
        <w:t>100</w:t>
      </w:r>
      <w:r>
        <w:rPr>
          <w:rFonts w:eastAsia="仿宋_GB2312"/>
          <w:color w:val="000000"/>
          <w:sz w:val="32"/>
          <w:szCs w:val="32"/>
        </w:rPr>
        <w:t>分（绩效自评表附后）。全年预算数为</w:t>
      </w:r>
      <w:r>
        <w:rPr>
          <w:rFonts w:hint="eastAsia" w:eastAsia="仿宋_GB2312"/>
          <w:color w:val="000000"/>
          <w:sz w:val="32"/>
          <w:szCs w:val="32"/>
        </w:rPr>
        <w:t>11.38</w:t>
      </w:r>
      <w:r>
        <w:rPr>
          <w:rFonts w:eastAsia="仿宋_GB2312"/>
          <w:color w:val="000000"/>
          <w:sz w:val="32"/>
          <w:szCs w:val="32"/>
        </w:rPr>
        <w:t>万元，执行数为</w:t>
      </w:r>
      <w:r>
        <w:rPr>
          <w:rFonts w:hint="eastAsia" w:eastAsia="仿宋_GB2312"/>
          <w:color w:val="000000"/>
          <w:sz w:val="32"/>
          <w:szCs w:val="32"/>
        </w:rPr>
        <w:t>11.38</w:t>
      </w:r>
      <w:r>
        <w:rPr>
          <w:rFonts w:eastAsia="仿宋_GB2312"/>
          <w:color w:val="000000"/>
          <w:sz w:val="32"/>
          <w:szCs w:val="32"/>
        </w:rPr>
        <w:t>万元，完成预算的</w:t>
      </w:r>
      <w:r>
        <w:rPr>
          <w:rFonts w:hint="eastAsia" w:eastAsia="仿宋_GB2312"/>
          <w:color w:val="000000"/>
          <w:sz w:val="32"/>
          <w:szCs w:val="32"/>
        </w:rPr>
        <w:t>100%</w:t>
      </w:r>
      <w:r>
        <w:rPr>
          <w:rFonts w:eastAsia="仿宋_GB2312"/>
          <w:color w:val="000000"/>
          <w:sz w:val="32"/>
          <w:szCs w:val="32"/>
        </w:rPr>
        <w:t>。项目绩效目标完成情况：</w:t>
      </w:r>
      <w:r>
        <w:rPr>
          <w:rFonts w:hint="eastAsia" w:eastAsia="仿宋_GB2312"/>
          <w:color w:val="000000"/>
          <w:sz w:val="32"/>
          <w:szCs w:val="32"/>
        </w:rPr>
        <w:t>开展小区内垃圾清理工作，提高居民居住环境舒适度，进一步打造环境优美小区。</w:t>
      </w:r>
    </w:p>
    <w:p>
      <w:pPr>
        <w:widowControl/>
        <w:tabs>
          <w:tab w:val="left" w:pos="0"/>
        </w:tabs>
        <w:adjustRightInd w:val="0"/>
        <w:snapToGrid w:val="0"/>
        <w:spacing w:after="0" w:line="580" w:lineRule="exact"/>
        <w:ind w:firstLine="643" w:firstLineChars="200"/>
        <w:jc w:val="left"/>
        <w:rPr>
          <w:rFonts w:eastAsia="仿宋_GB2312"/>
          <w:color w:val="000000"/>
          <w:sz w:val="32"/>
          <w:szCs w:val="32"/>
        </w:rPr>
      </w:pPr>
      <w:r>
        <w:rPr>
          <w:rFonts w:eastAsia="仿宋_GB2312"/>
          <w:b/>
          <w:bCs/>
          <w:color w:val="000000"/>
          <w:sz w:val="32"/>
          <w:szCs w:val="32"/>
        </w:rPr>
        <w:t>2.财政评价项目绩效评价结果</w:t>
      </w:r>
    </w:p>
    <w:p>
      <w:pPr>
        <w:widowControl/>
        <w:tabs>
          <w:tab w:val="left" w:pos="0"/>
        </w:tabs>
        <w:adjustRightInd w:val="0"/>
        <w:snapToGrid w:val="0"/>
        <w:spacing w:after="0" w:line="580" w:lineRule="exact"/>
        <w:ind w:firstLine="640" w:firstLineChars="200"/>
        <w:jc w:val="left"/>
        <w:rPr>
          <w:rFonts w:eastAsia="仿宋_GB2312"/>
          <w:color w:val="000000"/>
          <w:sz w:val="32"/>
          <w:szCs w:val="32"/>
        </w:rPr>
      </w:pPr>
      <w:r>
        <w:rPr>
          <w:rFonts w:hint="eastAsia" w:eastAsia="仿宋_GB2312"/>
          <w:color w:val="000000"/>
          <w:sz w:val="32"/>
          <w:szCs w:val="32"/>
        </w:rPr>
        <w:t>无财政评价项目绩效评价结果。</w:t>
      </w:r>
    </w:p>
    <w:p>
      <w:pPr>
        <w:widowControl/>
        <w:tabs>
          <w:tab w:val="left" w:pos="0"/>
        </w:tabs>
        <w:adjustRightInd w:val="0"/>
        <w:snapToGrid w:val="0"/>
        <w:spacing w:after="0" w:line="580" w:lineRule="exact"/>
        <w:ind w:firstLine="640" w:firstLineChars="200"/>
        <w:jc w:val="left"/>
        <w:rPr>
          <w:rFonts w:eastAsia="仿宋_GB2312"/>
          <w:color w:val="000000"/>
          <w:sz w:val="32"/>
          <w:szCs w:val="32"/>
        </w:rPr>
      </w:pPr>
    </w:p>
    <w:p>
      <w:pPr>
        <w:widowControl/>
        <w:tabs>
          <w:tab w:val="left" w:pos="0"/>
        </w:tabs>
        <w:adjustRightInd w:val="0"/>
        <w:snapToGrid w:val="0"/>
        <w:spacing w:after="0" w:line="580" w:lineRule="exact"/>
        <w:ind w:firstLine="640" w:firstLineChars="200"/>
        <w:jc w:val="left"/>
        <w:rPr>
          <w:rFonts w:eastAsia="仿宋_GB2312"/>
          <w:color w:val="000000"/>
          <w:sz w:val="32"/>
          <w:szCs w:val="32"/>
        </w:rPr>
      </w:pPr>
    </w:p>
    <w:p>
      <w:pPr>
        <w:widowControl/>
        <w:tabs>
          <w:tab w:val="left" w:pos="0"/>
        </w:tabs>
        <w:adjustRightInd w:val="0"/>
        <w:snapToGrid w:val="0"/>
        <w:spacing w:after="0" w:line="580" w:lineRule="exact"/>
        <w:ind w:firstLine="643" w:firstLineChars="200"/>
        <w:jc w:val="left"/>
        <w:rPr>
          <w:rFonts w:eastAsia="仿宋_GB2312"/>
          <w:b/>
          <w:bCs/>
          <w:color w:val="000000"/>
          <w:sz w:val="32"/>
          <w:szCs w:val="32"/>
        </w:rPr>
      </w:pPr>
      <w:r>
        <w:rPr>
          <w:rFonts w:eastAsia="仿宋_GB2312"/>
          <w:b/>
          <w:bCs/>
          <w:color w:val="000000"/>
          <w:sz w:val="32"/>
          <w:szCs w:val="32"/>
        </w:rPr>
        <w:t>3.部门整体绩效自评结果。</w:t>
      </w:r>
    </w:p>
    <w:p>
      <w:pPr>
        <w:widowControl/>
        <w:tabs>
          <w:tab w:val="left" w:pos="0"/>
        </w:tabs>
        <w:adjustRightInd w:val="0"/>
        <w:snapToGrid w:val="0"/>
        <w:spacing w:after="0" w:line="580" w:lineRule="exact"/>
        <w:ind w:firstLine="640" w:firstLineChars="200"/>
        <w:jc w:val="left"/>
        <w:rPr>
          <w:rFonts w:eastAsia="仿宋_GB2312"/>
          <w:color w:val="000000"/>
          <w:sz w:val="32"/>
          <w:szCs w:val="32"/>
        </w:rPr>
      </w:pPr>
      <w:r>
        <w:rPr>
          <w:rFonts w:eastAsia="仿宋_GB2312"/>
          <w:sz w:val="32"/>
          <w:szCs w:val="32"/>
        </w:rPr>
        <w:t>本部门对2019年度部门整体绩效进行自评价，自评得分</w:t>
      </w:r>
      <w:r>
        <w:rPr>
          <w:rFonts w:hint="eastAsia" w:eastAsia="仿宋_GB2312"/>
          <w:sz w:val="32"/>
          <w:szCs w:val="32"/>
        </w:rPr>
        <w:t>100</w:t>
      </w:r>
      <w:r>
        <w:rPr>
          <w:rFonts w:eastAsia="仿宋_GB2312"/>
          <w:sz w:val="32"/>
          <w:szCs w:val="32"/>
        </w:rPr>
        <w:t>分，评价等级为</w:t>
      </w:r>
      <w:r>
        <w:rPr>
          <w:rFonts w:hint="eastAsia" w:eastAsia="仿宋_GB2312"/>
          <w:sz w:val="32"/>
          <w:szCs w:val="32"/>
        </w:rPr>
        <w:t>优</w:t>
      </w:r>
      <w:r>
        <w:rPr>
          <w:rFonts w:eastAsia="仿宋_GB2312"/>
          <w:sz w:val="32"/>
          <w:szCs w:val="32"/>
        </w:rPr>
        <w:t>。从评价情况来看，</w:t>
      </w:r>
      <w:r>
        <w:rPr>
          <w:rFonts w:hint="eastAsia" w:eastAsia="仿宋_GB2312"/>
          <w:sz w:val="32"/>
          <w:szCs w:val="32"/>
        </w:rPr>
        <w:t>街道办</w:t>
      </w:r>
      <w:r>
        <w:rPr>
          <w:rFonts w:eastAsia="仿宋_GB2312"/>
          <w:sz w:val="32"/>
          <w:szCs w:val="32"/>
        </w:rPr>
        <w:t>较好完成了2019 年履行职能职责和各项重点工作任务，整体绩效情况较为理想，总体上达到了预算绩效管理的要求。</w:t>
      </w:r>
    </w:p>
    <w:p>
      <w:pPr>
        <w:adjustRightInd w:val="0"/>
        <w:snapToGrid w:val="0"/>
        <w:spacing w:line="580" w:lineRule="exact"/>
        <w:ind w:firstLine="640" w:firstLineChars="200"/>
        <w:rPr>
          <w:rFonts w:eastAsia="黑体"/>
          <w:color w:val="000000"/>
          <w:sz w:val="32"/>
          <w:szCs w:val="40"/>
        </w:rPr>
      </w:pPr>
      <w:r>
        <w:rPr>
          <w:rFonts w:eastAsia="黑体"/>
          <w:color w:val="000000"/>
          <w:sz w:val="32"/>
          <w:szCs w:val="40"/>
        </w:rPr>
        <w:t>二、绩效公开表格</w:t>
      </w: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p>
      <w:pPr>
        <w:adjustRightInd w:val="0"/>
        <w:snapToGrid w:val="0"/>
        <w:spacing w:line="580" w:lineRule="exact"/>
        <w:ind w:firstLine="640" w:firstLineChars="200"/>
        <w:rPr>
          <w:rFonts w:eastAsia="黑体"/>
          <w:color w:val="000000"/>
          <w:sz w:val="32"/>
          <w:szCs w:val="40"/>
        </w:rPr>
      </w:pPr>
    </w:p>
    <w:tbl>
      <w:tblPr>
        <w:tblStyle w:val="12"/>
        <w:tblW w:w="10065" w:type="dxa"/>
        <w:tblInd w:w="-318" w:type="dxa"/>
        <w:tblLayout w:type="fixed"/>
        <w:tblCellMar>
          <w:top w:w="0" w:type="dxa"/>
          <w:left w:w="108" w:type="dxa"/>
          <w:bottom w:w="0" w:type="dxa"/>
          <w:right w:w="108" w:type="dxa"/>
        </w:tblCellMar>
      </w:tblPr>
      <w:tblGrid>
        <w:gridCol w:w="1419"/>
        <w:gridCol w:w="406"/>
        <w:gridCol w:w="982"/>
        <w:gridCol w:w="29"/>
        <w:gridCol w:w="1075"/>
        <w:gridCol w:w="1193"/>
        <w:gridCol w:w="850"/>
        <w:gridCol w:w="426"/>
        <w:gridCol w:w="425"/>
        <w:gridCol w:w="425"/>
        <w:gridCol w:w="284"/>
        <w:gridCol w:w="850"/>
        <w:gridCol w:w="142"/>
        <w:gridCol w:w="1559"/>
      </w:tblGrid>
      <w:tr>
        <w:tblPrEx>
          <w:tblCellMar>
            <w:top w:w="0" w:type="dxa"/>
            <w:left w:w="108" w:type="dxa"/>
            <w:bottom w:w="0" w:type="dxa"/>
            <w:right w:w="108" w:type="dxa"/>
          </w:tblCellMar>
        </w:tblPrEx>
        <w:trPr>
          <w:trHeight w:val="555" w:hRule="atLeast"/>
        </w:trPr>
        <w:tc>
          <w:tcPr>
            <w:tcW w:w="10065" w:type="dxa"/>
            <w:gridSpan w:val="14"/>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10065"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646" w:type="dxa"/>
            <w:gridSpan w:val="1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信访经费</w:t>
            </w:r>
          </w:p>
        </w:tc>
      </w:tr>
      <w:tr>
        <w:tblPrEx>
          <w:tblCellMar>
            <w:top w:w="0" w:type="dxa"/>
            <w:left w:w="108" w:type="dxa"/>
            <w:bottom w:w="0" w:type="dxa"/>
            <w:right w:w="108" w:type="dxa"/>
          </w:tblCellMar>
        </w:tblPrEx>
        <w:trPr>
          <w:trHeight w:val="600" w:hRule="atLeast"/>
        </w:trPr>
        <w:tc>
          <w:tcPr>
            <w:tcW w:w="141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68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68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41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417"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119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7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1276"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7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9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27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07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19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3.1555</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0.19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27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6.1%</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0.61</w:t>
            </w:r>
          </w:p>
        </w:tc>
      </w:tr>
      <w:tr>
        <w:tblPrEx>
          <w:tblCellMar>
            <w:top w:w="0" w:type="dxa"/>
            <w:left w:w="108" w:type="dxa"/>
            <w:bottom w:w="0" w:type="dxa"/>
            <w:right w:w="108" w:type="dxa"/>
          </w:tblCellMar>
        </w:tblPrEx>
        <w:trPr>
          <w:trHeight w:val="600" w:hRule="atLeast"/>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07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19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3.1555</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0.19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27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6.1%</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07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27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07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27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385" w:hRule="atLeast"/>
        </w:trPr>
        <w:tc>
          <w:tcPr>
            <w:tcW w:w="141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68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68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通过项目的开展按时完成值班工作，达到减少信访事件发生率、值班人员满意的目标。</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通过项目的开展按时完成值班工作，达到减少信访事件发生率、值班人员满意的目标。</w:t>
            </w:r>
          </w:p>
        </w:tc>
      </w:tr>
      <w:tr>
        <w:tblPrEx>
          <w:tblCellMar>
            <w:top w:w="0" w:type="dxa"/>
            <w:left w:w="108" w:type="dxa"/>
            <w:bottom w:w="0" w:type="dxa"/>
            <w:right w:w="108" w:type="dxa"/>
          </w:tblCellMar>
        </w:tblPrEx>
        <w:trPr>
          <w:trHeight w:val="345" w:hRule="atLeast"/>
        </w:trPr>
        <w:tc>
          <w:tcPr>
            <w:tcW w:w="141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40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98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297"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851"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85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70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29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5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98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297"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值班次数</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w:t>
            </w:r>
            <w:r>
              <w:rPr>
                <w:rFonts w:hint="eastAsia" w:ascii="宋体" w:hAnsi="宋体"/>
                <w:color w:val="000000"/>
                <w:kern w:val="0"/>
                <w:sz w:val="24"/>
              </w:rPr>
              <w:t>次</w:t>
            </w:r>
          </w:p>
        </w:tc>
        <w:tc>
          <w:tcPr>
            <w:tcW w:w="85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w:t>
            </w:r>
            <w:r>
              <w:rPr>
                <w:rFonts w:hint="eastAsia" w:ascii="宋体" w:hAnsi="宋体"/>
                <w:color w:val="000000"/>
                <w:kern w:val="0"/>
                <w:sz w:val="24"/>
              </w:rPr>
              <w:t>次</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297"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值班完成率</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5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297"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85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w:t>
            </w:r>
            <w:r>
              <w:rPr>
                <w:rFonts w:hint="eastAsia" w:ascii="宋体" w:hAnsi="宋体"/>
                <w:color w:val="000000"/>
                <w:kern w:val="0"/>
                <w:sz w:val="24"/>
              </w:rPr>
              <w:t>月份</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297"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3.1555</w:t>
            </w:r>
            <w:r>
              <w:rPr>
                <w:rFonts w:hint="eastAsia" w:ascii="宋体" w:hAnsi="宋体"/>
                <w:color w:val="000000"/>
                <w:kern w:val="0"/>
                <w:sz w:val="24"/>
              </w:rPr>
              <w:t>万元</w:t>
            </w:r>
          </w:p>
        </w:tc>
        <w:tc>
          <w:tcPr>
            <w:tcW w:w="85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0.1915</w:t>
            </w:r>
            <w:r>
              <w:rPr>
                <w:rFonts w:hint="eastAsia" w:ascii="宋体" w:hAnsi="宋体"/>
                <w:color w:val="000000"/>
                <w:kern w:val="0"/>
                <w:sz w:val="24"/>
              </w:rPr>
              <w:t>万元</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color w:val="000000"/>
                <w:kern w:val="0"/>
                <w:sz w:val="24"/>
              </w:rPr>
              <w:t>0.06</w:t>
            </w:r>
          </w:p>
        </w:tc>
        <w:tc>
          <w:tcPr>
            <w:tcW w:w="1701"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县委县政府未安排值班工作</w:t>
            </w:r>
          </w:p>
        </w:tc>
      </w:tr>
      <w:tr>
        <w:tblPrEx>
          <w:tblCellMar>
            <w:top w:w="0" w:type="dxa"/>
            <w:left w:w="108" w:type="dxa"/>
            <w:bottom w:w="0" w:type="dxa"/>
            <w:right w:w="108" w:type="dxa"/>
          </w:tblCellMar>
        </w:tblPrEx>
        <w:trPr>
          <w:trHeight w:val="600"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98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297"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297"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信访事件发生率</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10%</w:t>
            </w:r>
          </w:p>
        </w:tc>
        <w:tc>
          <w:tcPr>
            <w:tcW w:w="85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297"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297"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4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98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297"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85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80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5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90.61</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r>
        <w:rPr>
          <w:rFonts w:hAnsi="宋体" w:asciiTheme="minorEastAsia" w:eastAsiaTheme="minorEastAsia"/>
          <w:b/>
          <w:color w:val="000000" w:themeColor="text1"/>
          <w:sz w:val="32"/>
          <w:szCs w:val="32"/>
          <w14:textFill>
            <w14:solidFill>
              <w14:schemeClr w14:val="tx1"/>
            </w14:solidFill>
          </w14:textFill>
        </w:rPr>
        <w:tab/>
      </w: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tabs>
          <w:tab w:val="left" w:pos="2280"/>
        </w:tabs>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fixed"/>
        <w:tblCellMar>
          <w:top w:w="0" w:type="dxa"/>
          <w:left w:w="108" w:type="dxa"/>
          <w:bottom w:w="0" w:type="dxa"/>
          <w:right w:w="108" w:type="dxa"/>
        </w:tblCellMar>
      </w:tblPr>
      <w:tblGrid>
        <w:gridCol w:w="1277"/>
        <w:gridCol w:w="421"/>
        <w:gridCol w:w="976"/>
        <w:gridCol w:w="20"/>
        <w:gridCol w:w="1134"/>
        <w:gridCol w:w="1134"/>
        <w:gridCol w:w="851"/>
        <w:gridCol w:w="425"/>
        <w:gridCol w:w="567"/>
        <w:gridCol w:w="142"/>
        <w:gridCol w:w="567"/>
        <w:gridCol w:w="425"/>
        <w:gridCol w:w="283"/>
        <w:gridCol w:w="1701"/>
      </w:tblGrid>
      <w:tr>
        <w:tblPrEx>
          <w:tblCellMar>
            <w:top w:w="0" w:type="dxa"/>
            <w:left w:w="108" w:type="dxa"/>
            <w:bottom w:w="0" w:type="dxa"/>
            <w:right w:w="108" w:type="dxa"/>
          </w:tblCellMar>
        </w:tblPrEx>
        <w:trPr>
          <w:trHeight w:val="555"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646" w:type="dxa"/>
            <w:gridSpan w:val="1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北辰街道办事处机关屋面防水及部分外墙改造工程</w:t>
            </w:r>
          </w:p>
        </w:tc>
      </w:tr>
      <w:tr>
        <w:tblPrEx>
          <w:tblCellMar>
            <w:top w:w="0" w:type="dxa"/>
            <w:left w:w="108" w:type="dxa"/>
            <w:bottom w:w="0" w:type="dxa"/>
            <w:right w:w="108" w:type="dxa"/>
          </w:tblCellMar>
        </w:tblPrEx>
        <w:trPr>
          <w:trHeight w:val="600" w:hRule="atLeast"/>
        </w:trPr>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68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68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417"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  预算数</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7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98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8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8.62 </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8.62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8.62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8.62 </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8.62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8.62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7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68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68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kern w:val="0"/>
                <w:sz w:val="24"/>
              </w:rPr>
            </w:pPr>
            <w:r>
              <w:rPr>
                <w:rFonts w:hint="eastAsia" w:ascii="宋体" w:hAnsi="宋体" w:cs="宋体"/>
                <w:kern w:val="0"/>
                <w:sz w:val="24"/>
              </w:rPr>
              <w:t>通过项目的开展，完成北辰街道办事处机关屋面防水及部分外墙改造施工任务，优化办公环境。</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kern w:val="0"/>
                <w:sz w:val="24"/>
              </w:rPr>
            </w:pPr>
            <w:r>
              <w:rPr>
                <w:rFonts w:hint="eastAsia" w:ascii="宋体" w:hAnsi="宋体" w:cs="宋体"/>
                <w:kern w:val="0"/>
                <w:sz w:val="24"/>
              </w:rPr>
              <w:t>通过项目的开展，完成北辰街道办事处机关屋面防水及部分外墙改造施工任务，优化办公环境。</w:t>
            </w:r>
          </w:p>
        </w:tc>
      </w:tr>
      <w:tr>
        <w:tblPrEx>
          <w:tblCellMar>
            <w:top w:w="0" w:type="dxa"/>
            <w:left w:w="108" w:type="dxa"/>
            <w:bottom w:w="0" w:type="dxa"/>
            <w:right w:w="108" w:type="dxa"/>
          </w:tblCellMar>
        </w:tblPrEx>
        <w:trPr>
          <w:trHeight w:val="345" w:hRule="atLeast"/>
        </w:trPr>
        <w:tc>
          <w:tcPr>
            <w:tcW w:w="127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　</w:t>
            </w:r>
          </w:p>
        </w:tc>
        <w:tc>
          <w:tcPr>
            <w:tcW w:w="42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9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288"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92"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288"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9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288"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施工面积</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1165.6</w:t>
            </w:r>
            <w:r>
              <w:rPr>
                <w:rFonts w:hint="eastAsia" w:ascii="宋体" w:hAnsi="宋体"/>
                <w:color w:val="000000"/>
                <w:kern w:val="0"/>
                <w:sz w:val="24"/>
              </w:rPr>
              <w:t>平方米</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1165.6</w:t>
            </w:r>
            <w:r>
              <w:rPr>
                <w:rFonts w:hint="eastAsia" w:ascii="宋体" w:hAnsi="宋体"/>
                <w:color w:val="000000"/>
                <w:kern w:val="0"/>
                <w:sz w:val="24"/>
              </w:rPr>
              <w:t>平方米</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288"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工程合格率</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288"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实际支出时间</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w:t>
            </w:r>
            <w:r>
              <w:rPr>
                <w:rFonts w:hint="eastAsia" w:ascii="宋体" w:hAnsi="宋体"/>
                <w:color w:val="000000"/>
                <w:kern w:val="0"/>
                <w:sz w:val="24"/>
              </w:rPr>
              <w:t>月份</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288"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8.6226</w:t>
            </w:r>
            <w:r>
              <w:rPr>
                <w:rFonts w:hint="eastAsia" w:ascii="宋体" w:hAnsi="宋体"/>
                <w:color w:val="000000"/>
                <w:kern w:val="0"/>
                <w:sz w:val="24"/>
              </w:rPr>
              <w:t>万元</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8.6226</w:t>
            </w:r>
            <w:r>
              <w:rPr>
                <w:rFonts w:hint="eastAsia" w:ascii="宋体" w:hAnsi="宋体"/>
                <w:color w:val="000000"/>
                <w:kern w:val="0"/>
                <w:sz w:val="24"/>
              </w:rPr>
              <w:t>万元</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9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288"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288"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办公用房优化率</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288"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288"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9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288"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80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fixed"/>
        <w:tblCellMar>
          <w:top w:w="0" w:type="dxa"/>
          <w:left w:w="108" w:type="dxa"/>
          <w:bottom w:w="0" w:type="dxa"/>
          <w:right w:w="108" w:type="dxa"/>
        </w:tblCellMar>
      </w:tblPr>
      <w:tblGrid>
        <w:gridCol w:w="1277"/>
        <w:gridCol w:w="446"/>
        <w:gridCol w:w="829"/>
        <w:gridCol w:w="284"/>
        <w:gridCol w:w="850"/>
        <w:gridCol w:w="1276"/>
        <w:gridCol w:w="851"/>
        <w:gridCol w:w="425"/>
        <w:gridCol w:w="425"/>
        <w:gridCol w:w="284"/>
        <w:gridCol w:w="425"/>
        <w:gridCol w:w="567"/>
        <w:gridCol w:w="283"/>
        <w:gridCol w:w="1701"/>
      </w:tblGrid>
      <w:tr>
        <w:tblPrEx>
          <w:tblCellMar>
            <w:top w:w="0" w:type="dxa"/>
            <w:left w:w="108" w:type="dxa"/>
            <w:bottom w:w="0" w:type="dxa"/>
            <w:right w:w="108" w:type="dxa"/>
          </w:tblCellMar>
        </w:tblPrEx>
        <w:trPr>
          <w:trHeight w:val="555"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646" w:type="dxa"/>
            <w:gridSpan w:val="1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环保所经费</w:t>
            </w:r>
          </w:p>
        </w:tc>
      </w:tr>
      <w:tr>
        <w:tblPrEx>
          <w:tblCellMar>
            <w:top w:w="0" w:type="dxa"/>
            <w:left w:w="108" w:type="dxa"/>
            <w:bottom w:w="0" w:type="dxa"/>
            <w:right w:w="108" w:type="dxa"/>
          </w:tblCellMar>
        </w:tblPrEx>
        <w:trPr>
          <w:trHeight w:val="600" w:hRule="atLeast"/>
        </w:trPr>
        <w:tc>
          <w:tcPr>
            <w:tcW w:w="127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68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68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7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27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7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98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8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7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7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68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05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685"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通过项目的开展印发宣传单页、制作条幅、展牌，提高宣传覆盖率，促进居民自觉维护环境卫生，建设和谐美好社区，实现群众满意的目标。</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通过项目的开展印发宣传单页、制作条幅、展牌，提高宣传覆盖率，促进居民自觉维护环境卫生，建设和谐美好社区，实现群众满意的目标。</w:t>
            </w:r>
          </w:p>
        </w:tc>
      </w:tr>
      <w:tr>
        <w:tblPrEx>
          <w:tblCellMar>
            <w:top w:w="0" w:type="dxa"/>
            <w:left w:w="108" w:type="dxa"/>
            <w:bottom w:w="0" w:type="dxa"/>
            <w:right w:w="108" w:type="dxa"/>
          </w:tblCellMar>
        </w:tblPrEx>
        <w:trPr>
          <w:trHeight w:val="345" w:hRule="atLeast"/>
        </w:trPr>
        <w:tc>
          <w:tcPr>
            <w:tcW w:w="127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44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11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12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85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1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12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0"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11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126"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宣传册数量</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r>
              <w:rPr>
                <w:rFonts w:hint="eastAsia" w:ascii="宋体" w:hAnsi="宋体"/>
                <w:color w:val="000000"/>
                <w:kern w:val="0"/>
                <w:sz w:val="24"/>
              </w:rPr>
              <w:t>册</w:t>
            </w:r>
          </w:p>
        </w:tc>
        <w:tc>
          <w:tcPr>
            <w:tcW w:w="85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r>
              <w:rPr>
                <w:rFonts w:hint="eastAsia" w:ascii="宋体" w:hAnsi="宋体"/>
                <w:color w:val="000000"/>
                <w:kern w:val="0"/>
                <w:sz w:val="24"/>
              </w:rPr>
              <w:t>册</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1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126"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印刷品验收合格率</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5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1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126"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85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1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126"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r>
              <w:rPr>
                <w:rFonts w:hint="eastAsia" w:ascii="宋体" w:hAnsi="宋体"/>
                <w:color w:val="000000"/>
                <w:kern w:val="0"/>
                <w:sz w:val="24"/>
              </w:rPr>
              <w:t>万元</w:t>
            </w:r>
          </w:p>
        </w:tc>
        <w:tc>
          <w:tcPr>
            <w:tcW w:w="85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r>
              <w:rPr>
                <w:rFonts w:hint="eastAsia" w:ascii="宋体" w:hAnsi="宋体"/>
                <w:color w:val="000000"/>
                <w:kern w:val="0"/>
                <w:sz w:val="24"/>
              </w:rPr>
              <w:t>万元</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11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126"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1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126"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宣传覆盖率</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85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1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126"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1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126"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27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44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11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126"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小区居民满意度</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85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66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fixed"/>
        <w:tblCellMar>
          <w:top w:w="0" w:type="dxa"/>
          <w:left w:w="108" w:type="dxa"/>
          <w:bottom w:w="0" w:type="dxa"/>
          <w:right w:w="108" w:type="dxa"/>
        </w:tblCellMar>
      </w:tblPr>
      <w:tblGrid>
        <w:gridCol w:w="1018"/>
        <w:gridCol w:w="63"/>
        <w:gridCol w:w="68"/>
        <w:gridCol w:w="72"/>
        <w:gridCol w:w="397"/>
        <w:gridCol w:w="96"/>
        <w:gridCol w:w="819"/>
        <w:gridCol w:w="112"/>
        <w:gridCol w:w="53"/>
        <w:gridCol w:w="138"/>
        <w:gridCol w:w="943"/>
        <w:gridCol w:w="1154"/>
        <w:gridCol w:w="941"/>
        <w:gridCol w:w="346"/>
        <w:gridCol w:w="459"/>
        <w:gridCol w:w="126"/>
        <w:gridCol w:w="283"/>
        <w:gridCol w:w="133"/>
        <w:gridCol w:w="261"/>
        <w:gridCol w:w="173"/>
        <w:gridCol w:w="252"/>
        <w:gridCol w:w="174"/>
        <w:gridCol w:w="387"/>
        <w:gridCol w:w="38"/>
        <w:gridCol w:w="221"/>
        <w:gridCol w:w="1196"/>
      </w:tblGrid>
      <w:tr>
        <w:tblPrEx>
          <w:tblCellMar>
            <w:top w:w="0" w:type="dxa"/>
            <w:left w:w="108" w:type="dxa"/>
            <w:bottom w:w="0" w:type="dxa"/>
            <w:right w:w="108" w:type="dxa"/>
          </w:tblCellMar>
        </w:tblPrEx>
        <w:trPr>
          <w:trHeight w:val="555" w:hRule="atLeast"/>
        </w:trPr>
        <w:tc>
          <w:tcPr>
            <w:tcW w:w="9923" w:type="dxa"/>
            <w:gridSpan w:val="26"/>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555" w:hRule="atLeast"/>
        </w:trPr>
        <w:tc>
          <w:tcPr>
            <w:tcW w:w="9923" w:type="dxa"/>
            <w:gridSpan w:val="26"/>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rFonts w:hint="eastAsia"/>
                <w:color w:val="000000"/>
                <w:kern w:val="0"/>
                <w:sz w:val="44"/>
                <w:szCs w:val="44"/>
              </w:rPr>
              <w:t>（</w:t>
            </w:r>
            <w:r>
              <w:rPr>
                <w:color w:val="000000"/>
                <w:kern w:val="0"/>
                <w:sz w:val="44"/>
                <w:szCs w:val="44"/>
              </w:rPr>
              <w:t xml:space="preserve">    2019</w:t>
            </w:r>
            <w:r>
              <w:rPr>
                <w:rFonts w:hint="eastAsia"/>
                <w:color w:val="000000"/>
                <w:kern w:val="0"/>
                <w:sz w:val="44"/>
                <w:szCs w:val="44"/>
              </w:rPr>
              <w:t>年度 ）</w:t>
            </w:r>
          </w:p>
        </w:tc>
      </w:tr>
      <w:tr>
        <w:tblPrEx>
          <w:tblCellMar>
            <w:top w:w="0" w:type="dxa"/>
            <w:left w:w="108" w:type="dxa"/>
            <w:bottom w:w="0" w:type="dxa"/>
            <w:right w:w="108" w:type="dxa"/>
          </w:tblCellMar>
        </w:tblPrEx>
        <w:trPr>
          <w:trHeight w:val="600" w:hRule="atLeast"/>
        </w:trPr>
        <w:tc>
          <w:tcPr>
            <w:tcW w:w="122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02" w:type="dxa"/>
            <w:gridSpan w:val="2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计生小组长补贴经费</w:t>
            </w:r>
          </w:p>
        </w:tc>
      </w:tr>
      <w:tr>
        <w:tblPrEx>
          <w:tblCellMar>
            <w:top w:w="0" w:type="dxa"/>
            <w:left w:w="108" w:type="dxa"/>
            <w:bottom w:w="0" w:type="dxa"/>
            <w:right w:w="108" w:type="dxa"/>
          </w:tblCellMar>
        </w:tblPrEx>
        <w:trPr>
          <w:trHeight w:val="600" w:hRule="atLeast"/>
        </w:trPr>
        <w:tc>
          <w:tcPr>
            <w:tcW w:w="122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712"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703" w:type="dxa"/>
            <w:gridSpan w:val="1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21"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615" w:type="dxa"/>
            <w:gridSpan w:val="6"/>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4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   预算数</w:t>
            </w:r>
          </w:p>
        </w:tc>
        <w:tc>
          <w:tcPr>
            <w:tcW w:w="115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8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68"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3" w:type="dxa"/>
            <w:gridSpan w:val="5"/>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842"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21"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15" w:type="dxa"/>
            <w:gridSpan w:val="6"/>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4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5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8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68"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3"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84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21"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1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94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14.04</w:t>
            </w:r>
          </w:p>
        </w:tc>
        <w:tc>
          <w:tcPr>
            <w:tcW w:w="115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12.15</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12.15</w:t>
            </w:r>
          </w:p>
        </w:tc>
        <w:tc>
          <w:tcPr>
            <w:tcW w:w="868"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84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221"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1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94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14.04</w:t>
            </w:r>
          </w:p>
        </w:tc>
        <w:tc>
          <w:tcPr>
            <w:tcW w:w="115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12.15</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12.15</w:t>
            </w:r>
          </w:p>
        </w:tc>
        <w:tc>
          <w:tcPr>
            <w:tcW w:w="868"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84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21"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1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94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5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68"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21"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1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94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5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68"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081"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852" w:type="dxa"/>
            <w:gridSpan w:val="10"/>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90" w:type="dxa"/>
            <w:gridSpan w:val="1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050"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852" w:type="dxa"/>
            <w:gridSpan w:val="10"/>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通过项目的开展按时按量的发放计生小组长补贴，实现提高计生知识覆盖率、计生小组长满意的目标。</w:t>
            </w:r>
          </w:p>
        </w:tc>
        <w:tc>
          <w:tcPr>
            <w:tcW w:w="4990" w:type="dxa"/>
            <w:gridSpan w:val="1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通过项目的开展按时按量的发放计生小组长补贴，实现提高计生知识覆盖率、计生小组长满意的目标。</w:t>
            </w:r>
          </w:p>
        </w:tc>
      </w:tr>
      <w:tr>
        <w:tblPrEx>
          <w:tblCellMar>
            <w:top w:w="0" w:type="dxa"/>
            <w:left w:w="108" w:type="dxa"/>
            <w:bottom w:w="0" w:type="dxa"/>
            <w:right w:w="108" w:type="dxa"/>
          </w:tblCellMar>
        </w:tblPrEx>
        <w:trPr>
          <w:trHeight w:val="345" w:hRule="atLeast"/>
        </w:trPr>
        <w:tc>
          <w:tcPr>
            <w:tcW w:w="1081"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633" w:type="dxa"/>
            <w:gridSpan w:val="4"/>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984" w:type="dxa"/>
            <w:gridSpan w:val="3"/>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235"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31" w:type="dxa"/>
            <w:gridSpan w:val="3"/>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850"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851"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41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4" w:type="dxa"/>
            <w:gridSpan w:val="3"/>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23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4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31" w:type="dxa"/>
            <w:gridSpan w:val="3"/>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51"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41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984"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235"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人数</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117</w:t>
            </w:r>
            <w:r>
              <w:rPr>
                <w:rFonts w:hint="eastAsia" w:ascii="宋体" w:hAnsi="宋体"/>
                <w:color w:val="000000"/>
                <w:kern w:val="0"/>
                <w:sz w:val="24"/>
              </w:rPr>
              <w:t>人</w:t>
            </w:r>
          </w:p>
        </w:tc>
        <w:tc>
          <w:tcPr>
            <w:tcW w:w="931"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117</w:t>
            </w:r>
            <w:r>
              <w:rPr>
                <w:rFonts w:hint="eastAsia" w:ascii="宋体" w:hAnsi="宋体"/>
                <w:color w:val="000000"/>
                <w:kern w:val="0"/>
                <w:sz w:val="24"/>
              </w:rPr>
              <w:t>人</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4"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235"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发放补贴合格率</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931"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4"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235"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31"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4"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235"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12.15</w:t>
            </w:r>
            <w:r>
              <w:rPr>
                <w:rFonts w:hint="eastAsia" w:ascii="宋体" w:hAnsi="宋体"/>
                <w:color w:val="000000"/>
                <w:kern w:val="0"/>
                <w:sz w:val="24"/>
              </w:rPr>
              <w:t>万元</w:t>
            </w:r>
          </w:p>
        </w:tc>
        <w:tc>
          <w:tcPr>
            <w:tcW w:w="931"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12.15</w:t>
            </w:r>
            <w:r>
              <w:rPr>
                <w:rFonts w:hint="eastAsia" w:ascii="宋体" w:hAnsi="宋体"/>
                <w:color w:val="000000"/>
                <w:kern w:val="0"/>
                <w:sz w:val="24"/>
              </w:rPr>
              <w:t>万元</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984"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235"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31"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4"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235"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计生知识宣传覆盖率</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31"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4"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235"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31"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4"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235"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31"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08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984"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235"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31"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805" w:type="dxa"/>
            <w:gridSpan w:val="16"/>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85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51"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41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555" w:hRule="atLeast"/>
        </w:trPr>
        <w:tc>
          <w:tcPr>
            <w:tcW w:w="9923" w:type="dxa"/>
            <w:gridSpan w:val="26"/>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p>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26"/>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1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74" w:type="dxa"/>
            <w:gridSpan w:val="2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楼门栋长补贴经费</w:t>
            </w:r>
          </w:p>
        </w:tc>
      </w:tr>
      <w:tr>
        <w:tblPrEx>
          <w:tblCellMar>
            <w:top w:w="0" w:type="dxa"/>
            <w:left w:w="108" w:type="dxa"/>
            <w:bottom w:w="0" w:type="dxa"/>
            <w:right w:w="108" w:type="dxa"/>
          </w:tblCellMar>
        </w:tblPrEx>
        <w:trPr>
          <w:trHeight w:val="600" w:hRule="atLeast"/>
        </w:trPr>
        <w:tc>
          <w:tcPr>
            <w:tcW w:w="1149"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784" w:type="dxa"/>
            <w:gridSpan w:val="9"/>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74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244" w:type="dxa"/>
            <w:gridSpan w:val="11"/>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149"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496" w:type="dxa"/>
            <w:gridSpan w:val="5"/>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115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746"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03"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86"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455"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14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6"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5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74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03"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6"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45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14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6"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13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42.6</w:t>
            </w:r>
          </w:p>
        </w:tc>
        <w:tc>
          <w:tcPr>
            <w:tcW w:w="115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39.45</w:t>
            </w:r>
          </w:p>
        </w:tc>
        <w:tc>
          <w:tcPr>
            <w:tcW w:w="174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39.45 </w:t>
            </w:r>
          </w:p>
        </w:tc>
        <w:tc>
          <w:tcPr>
            <w:tcW w:w="803"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86"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45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14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6"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13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42.6</w:t>
            </w:r>
          </w:p>
        </w:tc>
        <w:tc>
          <w:tcPr>
            <w:tcW w:w="115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39.45</w:t>
            </w:r>
          </w:p>
        </w:tc>
        <w:tc>
          <w:tcPr>
            <w:tcW w:w="174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39.45 </w:t>
            </w:r>
          </w:p>
        </w:tc>
        <w:tc>
          <w:tcPr>
            <w:tcW w:w="803"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86"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45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4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6"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13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5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4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03"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86"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5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49"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6"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13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5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4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03"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86"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5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0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915" w:type="dxa"/>
            <w:gridSpan w:val="11"/>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90" w:type="dxa"/>
            <w:gridSpan w:val="1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050"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915" w:type="dxa"/>
            <w:gridSpan w:val="11"/>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通过项目的开展按时按量的发放楼门栋长补贴，促使楼门栋长配合社区居委会工作，实现降低居民纠纷率、提高楼门栋长满意度的目标。</w:t>
            </w:r>
          </w:p>
        </w:tc>
        <w:tc>
          <w:tcPr>
            <w:tcW w:w="4990" w:type="dxa"/>
            <w:gridSpan w:val="1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通过项目的开展按时按量的发放楼门栋长补贴，促使楼门栋长配合社区居委会工作，实现降低居民纠纷率、提高楼门栋长满意度的目标。</w:t>
            </w:r>
          </w:p>
        </w:tc>
      </w:tr>
      <w:tr>
        <w:tblPrEx>
          <w:tblCellMar>
            <w:top w:w="0" w:type="dxa"/>
            <w:left w:w="108" w:type="dxa"/>
            <w:bottom w:w="0" w:type="dxa"/>
            <w:right w:w="108" w:type="dxa"/>
          </w:tblCellMar>
        </w:tblPrEx>
        <w:trPr>
          <w:trHeight w:val="345" w:hRule="atLeast"/>
        </w:trPr>
        <w:tc>
          <w:tcPr>
            <w:tcW w:w="10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600" w:type="dxa"/>
            <w:gridSpan w:val="4"/>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915"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400" w:type="dxa"/>
            <w:gridSpan w:val="5"/>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128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1001" w:type="dxa"/>
            <w:gridSpan w:val="4"/>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686"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820" w:type="dxa"/>
            <w:gridSpan w:val="4"/>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1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5"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400" w:type="dxa"/>
            <w:gridSpan w:val="5"/>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28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001"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86"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20"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96"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91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400" w:type="dxa"/>
            <w:gridSpan w:val="5"/>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人数</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355</w:t>
            </w:r>
          </w:p>
        </w:tc>
        <w:tc>
          <w:tcPr>
            <w:tcW w:w="1001"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355</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400" w:type="dxa"/>
            <w:gridSpan w:val="5"/>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发放补贴合格率</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001"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400" w:type="dxa"/>
            <w:gridSpan w:val="5"/>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1001"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400" w:type="dxa"/>
            <w:gridSpan w:val="5"/>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39.45</w:t>
            </w:r>
            <w:r>
              <w:rPr>
                <w:rFonts w:hint="eastAsia" w:ascii="宋体" w:hAnsi="宋体"/>
                <w:color w:val="000000"/>
                <w:kern w:val="0"/>
                <w:sz w:val="24"/>
              </w:rPr>
              <w:t>万元</w:t>
            </w:r>
          </w:p>
        </w:tc>
        <w:tc>
          <w:tcPr>
            <w:tcW w:w="1001"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39.45</w:t>
            </w:r>
            <w:r>
              <w:rPr>
                <w:rFonts w:hint="eastAsia" w:ascii="宋体" w:hAnsi="宋体"/>
                <w:color w:val="000000"/>
                <w:kern w:val="0"/>
                <w:sz w:val="24"/>
              </w:rPr>
              <w:t>万元</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color w:val="000000"/>
                <w:kern w:val="0"/>
                <w:sz w:val="24"/>
              </w:rPr>
              <w:t>10</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91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400" w:type="dxa"/>
            <w:gridSpan w:val="5"/>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01"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753"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400" w:type="dxa"/>
            <w:gridSpan w:val="5"/>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居民纠纷率</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10%</w:t>
            </w:r>
          </w:p>
        </w:tc>
        <w:tc>
          <w:tcPr>
            <w:tcW w:w="1001"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10%</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400" w:type="dxa"/>
            <w:gridSpan w:val="5"/>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01"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400" w:type="dxa"/>
            <w:gridSpan w:val="5"/>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01"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0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00"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91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400" w:type="dxa"/>
            <w:gridSpan w:val="5"/>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128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001" w:type="dxa"/>
            <w:gridSpan w:val="4"/>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7221" w:type="dxa"/>
            <w:gridSpan w:val="18"/>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686"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20"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99.2</w:t>
            </w:r>
          </w:p>
        </w:tc>
        <w:tc>
          <w:tcPr>
            <w:tcW w:w="11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fixed"/>
        <w:tblCellMar>
          <w:top w:w="0" w:type="dxa"/>
          <w:left w:w="108" w:type="dxa"/>
          <w:bottom w:w="0" w:type="dxa"/>
          <w:right w:w="108" w:type="dxa"/>
        </w:tblCellMar>
      </w:tblPr>
      <w:tblGrid>
        <w:gridCol w:w="994"/>
        <w:gridCol w:w="125"/>
        <w:gridCol w:w="468"/>
        <w:gridCol w:w="913"/>
        <w:gridCol w:w="194"/>
        <w:gridCol w:w="992"/>
        <w:gridCol w:w="1276"/>
        <w:gridCol w:w="992"/>
        <w:gridCol w:w="118"/>
        <w:gridCol w:w="875"/>
        <w:gridCol w:w="708"/>
        <w:gridCol w:w="284"/>
        <w:gridCol w:w="425"/>
        <w:gridCol w:w="1559"/>
      </w:tblGrid>
      <w:tr>
        <w:tblPrEx>
          <w:tblCellMar>
            <w:top w:w="0" w:type="dxa"/>
            <w:left w:w="108" w:type="dxa"/>
            <w:bottom w:w="0" w:type="dxa"/>
            <w:right w:w="108" w:type="dxa"/>
          </w:tblCellMar>
        </w:tblPrEx>
        <w:trPr>
          <w:trHeight w:val="555"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1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804" w:type="dxa"/>
            <w:gridSpan w:val="1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社区党组织服务群众专项经费</w:t>
            </w:r>
          </w:p>
        </w:tc>
      </w:tr>
      <w:tr>
        <w:tblPrEx>
          <w:tblCellMar>
            <w:top w:w="0" w:type="dxa"/>
            <w:left w:w="108" w:type="dxa"/>
            <w:bottom w:w="0" w:type="dxa"/>
            <w:right w:w="108" w:type="dxa"/>
          </w:tblCellMar>
        </w:tblPrEx>
        <w:trPr>
          <w:trHeight w:val="600" w:hRule="atLeast"/>
        </w:trPr>
        <w:tc>
          <w:tcPr>
            <w:tcW w:w="111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84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11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851"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11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75"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127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11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7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98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11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7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1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7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8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11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7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200</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200</w:t>
            </w:r>
          </w:p>
        </w:tc>
        <w:tc>
          <w:tcPr>
            <w:tcW w:w="111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189.30 </w:t>
            </w:r>
          </w:p>
        </w:tc>
        <w:tc>
          <w:tcPr>
            <w:tcW w:w="87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94.7%</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9.4</w:t>
            </w:r>
          </w:p>
        </w:tc>
      </w:tr>
      <w:tr>
        <w:tblPrEx>
          <w:tblCellMar>
            <w:top w:w="0" w:type="dxa"/>
            <w:left w:w="108" w:type="dxa"/>
            <w:bottom w:w="0" w:type="dxa"/>
            <w:right w:w="108" w:type="dxa"/>
          </w:tblCellMar>
        </w:tblPrEx>
        <w:trPr>
          <w:trHeight w:val="600" w:hRule="atLeast"/>
        </w:trPr>
        <w:tc>
          <w:tcPr>
            <w:tcW w:w="111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7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200</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200</w:t>
            </w:r>
          </w:p>
        </w:tc>
        <w:tc>
          <w:tcPr>
            <w:tcW w:w="111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189.30 </w:t>
            </w:r>
          </w:p>
        </w:tc>
        <w:tc>
          <w:tcPr>
            <w:tcW w:w="87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94.7%</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1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7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1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7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1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7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1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75"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99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968"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61"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968"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通过项目的开展完成11个社区完善社区服务设施建设、社区党员团队服务建设、解决居民的迫切需要、为居民提供服务、为物业公司进行补贴，实现降低群众问题反映率、提高群众满意率的目标。</w:t>
            </w:r>
          </w:p>
        </w:tc>
        <w:tc>
          <w:tcPr>
            <w:tcW w:w="4961"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通过项目的开展完成11个社区完善社区服务设施建设、社区党员团队服务建设、解决居民的迫切需要、为居民提供服务、为物业公司进行补贴，实现降低群众问题反映率、提高群众满意率的目标。</w:t>
            </w:r>
          </w:p>
        </w:tc>
      </w:tr>
      <w:tr>
        <w:tblPrEx>
          <w:tblCellMar>
            <w:top w:w="0" w:type="dxa"/>
            <w:left w:w="108" w:type="dxa"/>
            <w:bottom w:w="0" w:type="dxa"/>
            <w:right w:w="108" w:type="dxa"/>
          </w:tblCellMar>
        </w:tblPrEx>
        <w:trPr>
          <w:trHeight w:val="345" w:hRule="atLeast"/>
        </w:trPr>
        <w:tc>
          <w:tcPr>
            <w:tcW w:w="99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59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91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462"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9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46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462"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完善服务设施建设的社区个数</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r>
              <w:rPr>
                <w:rFonts w:hint="eastAsia" w:ascii="宋体" w:hAnsi="宋体"/>
                <w:color w:val="000000"/>
                <w:kern w:val="0"/>
                <w:sz w:val="24"/>
              </w:rPr>
              <w:t>个</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r>
              <w:rPr>
                <w:rFonts w:hint="eastAsia" w:ascii="宋体" w:hAnsi="宋体"/>
                <w:color w:val="000000"/>
                <w:kern w:val="0"/>
                <w:sz w:val="24"/>
              </w:rPr>
              <w:t>个</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462"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物业公司补贴标准     合格率</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462"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46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200</w:t>
            </w:r>
            <w:r>
              <w:rPr>
                <w:rFonts w:hint="eastAsia" w:ascii="宋体" w:hAnsi="宋体"/>
                <w:color w:val="000000"/>
                <w:kern w:val="0"/>
                <w:sz w:val="24"/>
              </w:rPr>
              <w:t>万元</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189.30</w:t>
            </w:r>
            <w:r>
              <w:rPr>
                <w:rFonts w:hint="eastAsia" w:ascii="宋体" w:hAnsi="宋体"/>
                <w:color w:val="000000"/>
                <w:kern w:val="0"/>
                <w:sz w:val="24"/>
              </w:rPr>
              <w:t>万元</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9.4</w:t>
            </w:r>
          </w:p>
        </w:tc>
        <w:tc>
          <w:tcPr>
            <w:tcW w:w="1559"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因老旧小区改造，居民反映小区设施问题少。</w:t>
            </w:r>
          </w:p>
        </w:tc>
      </w:tr>
      <w:tr>
        <w:tblPrEx>
          <w:tblCellMar>
            <w:top w:w="0" w:type="dxa"/>
            <w:left w:w="108" w:type="dxa"/>
            <w:bottom w:w="0" w:type="dxa"/>
            <w:right w:w="108" w:type="dxa"/>
          </w:tblCellMar>
        </w:tblPrEx>
        <w:trPr>
          <w:trHeight w:val="600"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46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46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群众问题反映率</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10%</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10%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462"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46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99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91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46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947"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99.4</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fixed"/>
        <w:tblCellMar>
          <w:top w:w="0" w:type="dxa"/>
          <w:left w:w="108" w:type="dxa"/>
          <w:bottom w:w="0" w:type="dxa"/>
          <w:right w:w="108" w:type="dxa"/>
        </w:tblCellMar>
      </w:tblPr>
      <w:tblGrid>
        <w:gridCol w:w="1089"/>
        <w:gridCol w:w="126"/>
        <w:gridCol w:w="508"/>
        <w:gridCol w:w="1017"/>
        <w:gridCol w:w="230"/>
        <w:gridCol w:w="993"/>
        <w:gridCol w:w="999"/>
        <w:gridCol w:w="954"/>
        <w:gridCol w:w="322"/>
        <w:gridCol w:w="709"/>
        <w:gridCol w:w="141"/>
        <w:gridCol w:w="567"/>
        <w:gridCol w:w="284"/>
        <w:gridCol w:w="425"/>
        <w:gridCol w:w="1559"/>
      </w:tblGrid>
      <w:tr>
        <w:tblPrEx>
          <w:tblCellMar>
            <w:top w:w="0" w:type="dxa"/>
            <w:left w:w="108" w:type="dxa"/>
            <w:bottom w:w="0" w:type="dxa"/>
            <w:right w:w="108" w:type="dxa"/>
          </w:tblCellMar>
        </w:tblPrEx>
        <w:trPr>
          <w:trHeight w:val="555" w:hRule="atLeast"/>
        </w:trPr>
        <w:tc>
          <w:tcPr>
            <w:tcW w:w="9923" w:type="dxa"/>
            <w:gridSpan w:val="15"/>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5"/>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08" w:type="dxa"/>
            <w:gridSpan w:val="1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社区工作经费</w:t>
            </w:r>
          </w:p>
        </w:tc>
      </w:tr>
      <w:tr>
        <w:tblPrEx>
          <w:tblCellMar>
            <w:top w:w="0" w:type="dxa"/>
            <w:left w:w="108" w:type="dxa"/>
            <w:bottom w:w="0" w:type="dxa"/>
            <w:right w:w="108" w:type="dxa"/>
          </w:tblCellMar>
        </w:tblPrEx>
        <w:trPr>
          <w:trHeight w:val="600" w:hRule="atLeast"/>
        </w:trPr>
        <w:tc>
          <w:tcPr>
            <w:tcW w:w="121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747"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68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1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755"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 预算数</w:t>
            </w:r>
          </w:p>
        </w:tc>
        <w:tc>
          <w:tcPr>
            <w:tcW w:w="99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7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85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98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1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75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5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8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75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99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111.2</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111.11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w:t>
            </w:r>
          </w:p>
        </w:tc>
      </w:tr>
      <w:tr>
        <w:tblPrEx>
          <w:tblCellMar>
            <w:top w:w="0" w:type="dxa"/>
            <w:left w:w="108" w:type="dxa"/>
            <w:bottom w:w="0" w:type="dxa"/>
            <w:right w:w="108" w:type="dxa"/>
          </w:tblCellMar>
        </w:tblPrEx>
        <w:trPr>
          <w:trHeight w:val="600" w:hRule="atLeast"/>
        </w:trPr>
        <w:tc>
          <w:tcPr>
            <w:tcW w:w="121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75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99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111.2</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111.11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75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755"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08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873"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873"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通过项目的开展完成10个社区日常工作需求、为居民提供服务，实现提高正常工作开展率、居委会满意度的目标。</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通过项目的开展完成10个社区日常工作需求、为居民提供服务，实现提高正常工作开展率、居委会满意度的目标。</w:t>
            </w:r>
          </w:p>
        </w:tc>
      </w:tr>
      <w:tr>
        <w:tblPrEx>
          <w:tblCellMar>
            <w:top w:w="0" w:type="dxa"/>
            <w:left w:w="108" w:type="dxa"/>
            <w:bottom w:w="0" w:type="dxa"/>
            <w:right w:w="108" w:type="dxa"/>
          </w:tblCellMar>
        </w:tblPrEx>
        <w:trPr>
          <w:trHeight w:val="345" w:hRule="atLeast"/>
        </w:trPr>
        <w:tc>
          <w:tcPr>
            <w:tcW w:w="108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63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1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222"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5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1031"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22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54"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031"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222"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完善服务设施建设的社区个数</w:t>
            </w:r>
          </w:p>
        </w:tc>
        <w:tc>
          <w:tcPr>
            <w:tcW w:w="95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r>
              <w:rPr>
                <w:rFonts w:hint="eastAsia" w:ascii="宋体" w:hAnsi="宋体"/>
                <w:color w:val="000000"/>
                <w:kern w:val="0"/>
                <w:sz w:val="24"/>
              </w:rPr>
              <w:t>个</w:t>
            </w:r>
          </w:p>
        </w:tc>
        <w:tc>
          <w:tcPr>
            <w:tcW w:w="103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r>
              <w:rPr>
                <w:rFonts w:hint="eastAsia" w:ascii="宋体" w:hAnsi="宋体"/>
                <w:color w:val="000000"/>
                <w:kern w:val="0"/>
                <w:sz w:val="24"/>
              </w:rPr>
              <w:t>个</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222"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正常工作开展的天数</w:t>
            </w:r>
          </w:p>
        </w:tc>
        <w:tc>
          <w:tcPr>
            <w:tcW w:w="95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365</w:t>
            </w:r>
            <w:r>
              <w:rPr>
                <w:rFonts w:hint="eastAsia" w:ascii="宋体" w:hAnsi="宋体"/>
                <w:color w:val="000000"/>
                <w:kern w:val="0"/>
                <w:sz w:val="24"/>
              </w:rPr>
              <w:t>天</w:t>
            </w:r>
          </w:p>
        </w:tc>
        <w:tc>
          <w:tcPr>
            <w:tcW w:w="103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365</w:t>
            </w:r>
            <w:r>
              <w:rPr>
                <w:rFonts w:hint="eastAsia" w:ascii="宋体" w:hAnsi="宋体"/>
                <w:color w:val="000000"/>
                <w:kern w:val="0"/>
                <w:sz w:val="24"/>
              </w:rPr>
              <w:t>天</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222"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95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103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22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5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111.2</w:t>
            </w:r>
            <w:r>
              <w:rPr>
                <w:rFonts w:hint="eastAsia" w:ascii="宋体" w:hAnsi="宋体"/>
                <w:color w:val="000000"/>
                <w:kern w:val="0"/>
                <w:sz w:val="24"/>
              </w:rPr>
              <w:t>万元</w:t>
            </w:r>
          </w:p>
        </w:tc>
        <w:tc>
          <w:tcPr>
            <w:tcW w:w="103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111.11</w:t>
            </w:r>
            <w:r>
              <w:rPr>
                <w:rFonts w:hint="eastAsia" w:ascii="宋体" w:hAnsi="宋体"/>
                <w:color w:val="000000"/>
                <w:kern w:val="0"/>
                <w:sz w:val="24"/>
              </w:rPr>
              <w:t>万元</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w:t>
            </w:r>
          </w:p>
        </w:tc>
        <w:tc>
          <w:tcPr>
            <w:tcW w:w="1559"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22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5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3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22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正常工作开展率</w:t>
            </w:r>
          </w:p>
        </w:tc>
        <w:tc>
          <w:tcPr>
            <w:tcW w:w="95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03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222"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5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3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22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5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3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222"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5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03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947"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091"/>
        <w:gridCol w:w="136"/>
        <w:gridCol w:w="498"/>
        <w:gridCol w:w="1019"/>
        <w:gridCol w:w="114"/>
        <w:gridCol w:w="1134"/>
        <w:gridCol w:w="1152"/>
        <w:gridCol w:w="696"/>
        <w:gridCol w:w="540"/>
        <w:gridCol w:w="425"/>
        <w:gridCol w:w="425"/>
        <w:gridCol w:w="284"/>
        <w:gridCol w:w="708"/>
        <w:gridCol w:w="1701"/>
      </w:tblGrid>
      <w:tr>
        <w:tblPrEx>
          <w:tblCellMar>
            <w:top w:w="0" w:type="dxa"/>
            <w:left w:w="108" w:type="dxa"/>
            <w:bottom w:w="0" w:type="dxa"/>
            <w:right w:w="108" w:type="dxa"/>
          </w:tblCellMar>
        </w:tblPrEx>
        <w:trPr>
          <w:trHeight w:val="555"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696" w:type="dxa"/>
            <w:gridSpan w:val="1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食药监所、安监站经费</w:t>
            </w:r>
          </w:p>
        </w:tc>
      </w:tr>
      <w:tr>
        <w:tblPrEx>
          <w:tblCellMar>
            <w:top w:w="0" w:type="dxa"/>
            <w:left w:w="108" w:type="dxa"/>
            <w:bottom w:w="0" w:type="dxa"/>
            <w:right w:w="108" w:type="dxa"/>
          </w:tblCellMar>
        </w:tblPrEx>
        <w:trPr>
          <w:trHeight w:val="600" w:hRule="atLeast"/>
        </w:trPr>
        <w:tc>
          <w:tcPr>
            <w:tcW w:w="122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917"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3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54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2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631"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  预算数</w:t>
            </w:r>
          </w:p>
        </w:tc>
        <w:tc>
          <w:tcPr>
            <w:tcW w:w="115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3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3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5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3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3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115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123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0.50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2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3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115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p>
        </w:tc>
        <w:tc>
          <w:tcPr>
            <w:tcW w:w="123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0.50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3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5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3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63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5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3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09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4053"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779"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4053"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通过项目的开展完成社会保障信息化保障支撑度、综合业务管理工作、为群众提供优质政务服务，实现群众满意、服务对象满意的目标。</w:t>
            </w:r>
          </w:p>
        </w:tc>
        <w:tc>
          <w:tcPr>
            <w:tcW w:w="4779"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通过项目的开展完成社会保障信息化保障支撑度、综合业务管理工作、为群众提供优质政务服务，实现群众满意、服务对象满意的目标。</w:t>
            </w:r>
          </w:p>
        </w:tc>
      </w:tr>
      <w:tr>
        <w:tblPrEx>
          <w:tblCellMar>
            <w:top w:w="0" w:type="dxa"/>
            <w:left w:w="108" w:type="dxa"/>
            <w:bottom w:w="0" w:type="dxa"/>
            <w:right w:w="108" w:type="dxa"/>
          </w:tblCellMar>
        </w:tblPrEx>
        <w:trPr>
          <w:trHeight w:val="345" w:hRule="atLeast"/>
        </w:trPr>
        <w:tc>
          <w:tcPr>
            <w:tcW w:w="109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63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1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40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6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65"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40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65"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4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宣传册数量</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2000</w:t>
            </w:r>
            <w:r>
              <w:rPr>
                <w:rFonts w:hint="eastAsia" w:ascii="宋体" w:hAnsi="宋体"/>
                <w:color w:val="000000"/>
                <w:kern w:val="0"/>
                <w:sz w:val="24"/>
              </w:rPr>
              <w:t>册</w:t>
            </w:r>
          </w:p>
        </w:tc>
        <w:tc>
          <w:tcPr>
            <w:tcW w:w="96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2000</w:t>
            </w:r>
            <w:r>
              <w:rPr>
                <w:rFonts w:hint="eastAsia" w:ascii="宋体" w:hAnsi="宋体"/>
                <w:color w:val="000000"/>
                <w:kern w:val="0"/>
                <w:sz w:val="24"/>
              </w:rPr>
              <w:t>册</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400"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印刷品验收合格率</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6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400"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6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8</w:t>
            </w:r>
            <w:r>
              <w:rPr>
                <w:rFonts w:hint="eastAsia" w:ascii="宋体" w:hAnsi="宋体"/>
                <w:color w:val="000000"/>
                <w:kern w:val="0"/>
                <w:sz w:val="24"/>
              </w:rPr>
              <w:t>月份</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r>
              <w:rPr>
                <w:rFonts w:hint="eastAsia" w:ascii="宋体" w:hAnsi="宋体"/>
                <w:color w:val="000000"/>
                <w:kern w:val="0"/>
                <w:sz w:val="24"/>
              </w:rPr>
              <w:t>万元</w:t>
            </w:r>
          </w:p>
        </w:tc>
        <w:tc>
          <w:tcPr>
            <w:tcW w:w="96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0.5</w:t>
            </w:r>
            <w:r>
              <w:rPr>
                <w:rFonts w:hint="eastAsia" w:ascii="宋体" w:hAnsi="宋体"/>
                <w:color w:val="000000"/>
                <w:kern w:val="0"/>
                <w:sz w:val="24"/>
              </w:rPr>
              <w:t>万元</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6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宣传覆盖率</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6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400"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6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6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09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6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6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805"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218"/>
        <w:gridCol w:w="512"/>
        <w:gridCol w:w="1006"/>
        <w:gridCol w:w="963"/>
        <w:gridCol w:w="992"/>
        <w:gridCol w:w="980"/>
        <w:gridCol w:w="283"/>
        <w:gridCol w:w="851"/>
        <w:gridCol w:w="709"/>
        <w:gridCol w:w="283"/>
        <w:gridCol w:w="425"/>
        <w:gridCol w:w="1701"/>
      </w:tblGrid>
      <w:tr>
        <w:tblPrEx>
          <w:tblCellMar>
            <w:top w:w="0" w:type="dxa"/>
            <w:left w:w="108" w:type="dxa"/>
            <w:bottom w:w="0" w:type="dxa"/>
            <w:right w:w="108" w:type="dxa"/>
          </w:tblCellMar>
        </w:tblPrEx>
        <w:trPr>
          <w:trHeight w:val="555" w:hRule="atLeast"/>
        </w:trPr>
        <w:tc>
          <w:tcPr>
            <w:tcW w:w="9923" w:type="dxa"/>
            <w:gridSpan w:val="12"/>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2"/>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05" w:type="dxa"/>
            <w:gridSpan w:val="11"/>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退役军人管理服务站经费</w:t>
            </w:r>
          </w:p>
        </w:tc>
      </w:tr>
      <w:tr>
        <w:tblPrEx>
          <w:tblCellMar>
            <w:top w:w="0" w:type="dxa"/>
            <w:left w:w="108" w:type="dxa"/>
            <w:bottom w:w="0" w:type="dxa"/>
            <w:right w:w="108" w:type="dxa"/>
          </w:tblCellMar>
        </w:tblPrEx>
        <w:trPr>
          <w:trHeight w:val="600" w:hRule="atLeast"/>
        </w:trPr>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473"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6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96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1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6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  预算数</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6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212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6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6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12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96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w:t>
            </w:r>
          </w:p>
        </w:tc>
        <w:tc>
          <w:tcPr>
            <w:tcW w:w="126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1.00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96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w:t>
            </w:r>
          </w:p>
        </w:tc>
        <w:tc>
          <w:tcPr>
            <w:tcW w:w="126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1.00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96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6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96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6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473"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5232"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473"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通过印发宣传资料等工作的开展，实现降低退役军人反映问题的比率、提高工作人员满意度的目标。</w:t>
            </w:r>
          </w:p>
        </w:tc>
        <w:tc>
          <w:tcPr>
            <w:tcW w:w="5232"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通过印发宣传资料等工作的开展，实现降低退役军人反映问题的比率、提高工作人员满意度的目标。</w:t>
            </w:r>
          </w:p>
        </w:tc>
      </w:tr>
      <w:tr>
        <w:tblPrEx>
          <w:tblCellMar>
            <w:top w:w="0" w:type="dxa"/>
            <w:left w:w="108" w:type="dxa"/>
            <w:bottom w:w="0" w:type="dxa"/>
            <w:right w:w="108" w:type="dxa"/>
          </w:tblCellMar>
        </w:tblPrEx>
        <w:trPr>
          <w:trHeight w:val="345" w:hRule="atLeast"/>
        </w:trPr>
        <w:tc>
          <w:tcPr>
            <w:tcW w:w="12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c>
          <w:tcPr>
            <w:tcW w:w="51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0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195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113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5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3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1955"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展牌</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20</w:t>
            </w:r>
            <w:r>
              <w:rPr>
                <w:rFonts w:hint="eastAsia" w:ascii="宋体" w:hAnsi="宋体"/>
                <w:color w:val="000000"/>
                <w:kern w:val="0"/>
                <w:sz w:val="24"/>
              </w:rPr>
              <w:t>个</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20</w:t>
            </w:r>
            <w:r>
              <w:rPr>
                <w:rFonts w:hint="eastAsia" w:ascii="宋体" w:hAnsi="宋体"/>
                <w:color w:val="000000"/>
                <w:kern w:val="0"/>
                <w:sz w:val="24"/>
              </w:rPr>
              <w:t>个</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1955"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验收合格率</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1955"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实际支出时间</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w:t>
            </w:r>
            <w:r>
              <w:rPr>
                <w:rFonts w:hint="eastAsia" w:ascii="宋体" w:hAnsi="宋体"/>
                <w:color w:val="000000"/>
                <w:kern w:val="0"/>
                <w:sz w:val="24"/>
              </w:rPr>
              <w:t>月份</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195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w:t>
            </w:r>
            <w:r>
              <w:rPr>
                <w:rFonts w:hint="eastAsia" w:ascii="宋体" w:hAnsi="宋体"/>
                <w:color w:val="000000"/>
                <w:kern w:val="0"/>
                <w:sz w:val="24"/>
              </w:rPr>
              <w:t>万元</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w:t>
            </w:r>
            <w:r>
              <w:rPr>
                <w:rFonts w:hint="eastAsia" w:ascii="宋体" w:hAnsi="宋体"/>
                <w:color w:val="000000"/>
                <w:kern w:val="0"/>
                <w:sz w:val="24"/>
              </w:rPr>
              <w:t>万元</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195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1955"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降低退役军人反映问题的比率</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10%</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10%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1955"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195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195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8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13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805"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083"/>
        <w:gridCol w:w="135"/>
        <w:gridCol w:w="495"/>
        <w:gridCol w:w="1014"/>
        <w:gridCol w:w="1106"/>
        <w:gridCol w:w="1129"/>
        <w:gridCol w:w="921"/>
        <w:gridCol w:w="355"/>
        <w:gridCol w:w="709"/>
        <w:gridCol w:w="141"/>
        <w:gridCol w:w="567"/>
        <w:gridCol w:w="426"/>
        <w:gridCol w:w="283"/>
        <w:gridCol w:w="1559"/>
      </w:tblGrid>
      <w:tr>
        <w:tblPrEx>
          <w:tblCellMar>
            <w:top w:w="0" w:type="dxa"/>
            <w:left w:w="108" w:type="dxa"/>
            <w:bottom w:w="0" w:type="dxa"/>
            <w:right w:w="108" w:type="dxa"/>
          </w:tblCellMar>
        </w:tblPrEx>
        <w:trPr>
          <w:trHeight w:val="555"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44"/>
                <w:szCs w:val="44"/>
              </w:rPr>
            </w:pPr>
            <w:r>
              <w:rPr>
                <w:rFonts w:hint="eastAsia" w:ascii="宋体" w:hAnsi="宋体" w:cs="宋体"/>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05" w:type="dxa"/>
            <w:gridSpan w:val="1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2019年省级宣传文化（发展）专项资金</w:t>
            </w:r>
          </w:p>
        </w:tc>
      </w:tr>
      <w:tr>
        <w:tblPrEx>
          <w:tblCellMar>
            <w:top w:w="0" w:type="dxa"/>
            <w:left w:w="108" w:type="dxa"/>
            <w:bottom w:w="0" w:type="dxa"/>
            <w:right w:w="108" w:type="dxa"/>
          </w:tblCellMar>
        </w:tblPrEx>
        <w:trPr>
          <w:trHeight w:val="600" w:hRule="atLeast"/>
        </w:trPr>
        <w:tc>
          <w:tcPr>
            <w:tcW w:w="1218"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744"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68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1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  预算数</w:t>
            </w:r>
          </w:p>
        </w:tc>
        <w:tc>
          <w:tcPr>
            <w:tcW w:w="112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7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84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06"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2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84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10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0.00 </w:t>
            </w:r>
          </w:p>
        </w:tc>
        <w:tc>
          <w:tcPr>
            <w:tcW w:w="11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3.00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3.00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84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2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10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0.00 </w:t>
            </w:r>
          </w:p>
        </w:tc>
        <w:tc>
          <w:tcPr>
            <w:tcW w:w="11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3.00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3.00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84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10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10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08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87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87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kern w:val="0"/>
                <w:sz w:val="24"/>
              </w:rPr>
            </w:pPr>
            <w:r>
              <w:rPr>
                <w:rFonts w:hint="eastAsia" w:ascii="宋体" w:hAnsi="宋体" w:cs="宋体"/>
                <w:kern w:val="0"/>
                <w:sz w:val="24"/>
              </w:rPr>
              <w:t>通过项目的开展，进行荣昌苑社区文化家园建设，进一步完善活动室，为居民开展活动提供便利</w:t>
            </w:r>
          </w:p>
        </w:tc>
        <w:tc>
          <w:tcPr>
            <w:tcW w:w="4961"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kern w:val="0"/>
                <w:sz w:val="24"/>
              </w:rPr>
            </w:pPr>
            <w:r>
              <w:rPr>
                <w:rFonts w:hint="eastAsia" w:ascii="宋体" w:hAnsi="宋体" w:cs="宋体"/>
                <w:kern w:val="0"/>
                <w:sz w:val="24"/>
              </w:rPr>
              <w:t>通过项目的开展，进行荣昌苑社区文化家园建设，进一步完善活动室，为居民开展活动提供便利。</w:t>
            </w:r>
          </w:p>
        </w:tc>
      </w:tr>
      <w:tr>
        <w:tblPrEx>
          <w:tblCellMar>
            <w:top w:w="0" w:type="dxa"/>
            <w:left w:w="108" w:type="dxa"/>
            <w:bottom w:w="0" w:type="dxa"/>
            <w:right w:w="108" w:type="dxa"/>
          </w:tblCellMar>
        </w:tblPrEx>
        <w:trPr>
          <w:trHeight w:val="345" w:hRule="atLeast"/>
        </w:trPr>
        <w:tc>
          <w:tcPr>
            <w:tcW w:w="108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c>
          <w:tcPr>
            <w:tcW w:w="63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1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23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106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  完成值</w:t>
            </w:r>
          </w:p>
        </w:tc>
        <w:tc>
          <w:tcPr>
            <w:tcW w:w="70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23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2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064"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1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235"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地板安装面积</w:t>
            </w:r>
          </w:p>
        </w:tc>
        <w:tc>
          <w:tcPr>
            <w:tcW w:w="92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103.5</w:t>
            </w:r>
            <w:r>
              <w:rPr>
                <w:rFonts w:hint="eastAsia" w:ascii="宋体" w:hAnsi="宋体"/>
                <w:color w:val="000000"/>
                <w:kern w:val="0"/>
                <w:sz w:val="24"/>
              </w:rPr>
              <w:t>平方米</w:t>
            </w:r>
          </w:p>
        </w:tc>
        <w:tc>
          <w:tcPr>
            <w:tcW w:w="106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103.5</w:t>
            </w:r>
            <w:r>
              <w:rPr>
                <w:rFonts w:hint="eastAsia" w:ascii="宋体" w:hAnsi="宋体"/>
                <w:color w:val="000000"/>
                <w:kern w:val="0"/>
                <w:sz w:val="24"/>
              </w:rPr>
              <w:t>平方米</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235"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工程合格率</w:t>
            </w:r>
          </w:p>
        </w:tc>
        <w:tc>
          <w:tcPr>
            <w:tcW w:w="92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106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235"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实际支出时间</w:t>
            </w:r>
          </w:p>
        </w:tc>
        <w:tc>
          <w:tcPr>
            <w:tcW w:w="92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106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23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2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w:t>
            </w:r>
            <w:r>
              <w:rPr>
                <w:rFonts w:hint="eastAsia" w:ascii="宋体" w:hAnsi="宋体"/>
                <w:color w:val="000000"/>
                <w:kern w:val="0"/>
                <w:sz w:val="24"/>
              </w:rPr>
              <w:t>万元</w:t>
            </w:r>
          </w:p>
        </w:tc>
        <w:tc>
          <w:tcPr>
            <w:tcW w:w="106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w:t>
            </w:r>
            <w:r>
              <w:rPr>
                <w:rFonts w:hint="eastAsia" w:ascii="宋体" w:hAnsi="宋体"/>
                <w:color w:val="000000"/>
                <w:kern w:val="0"/>
                <w:sz w:val="24"/>
              </w:rPr>
              <w:t>万元</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1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23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2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6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235"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活动用房优化率</w:t>
            </w:r>
          </w:p>
        </w:tc>
        <w:tc>
          <w:tcPr>
            <w:tcW w:w="92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106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235"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2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6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23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2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6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08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1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23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2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064"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94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205"/>
        <w:gridCol w:w="523"/>
        <w:gridCol w:w="1004"/>
        <w:gridCol w:w="1081"/>
        <w:gridCol w:w="1134"/>
        <w:gridCol w:w="961"/>
        <w:gridCol w:w="330"/>
        <w:gridCol w:w="709"/>
        <w:gridCol w:w="141"/>
        <w:gridCol w:w="567"/>
        <w:gridCol w:w="426"/>
        <w:gridCol w:w="283"/>
        <w:gridCol w:w="1559"/>
      </w:tblGrid>
      <w:tr>
        <w:tblPrEx>
          <w:tblCellMar>
            <w:top w:w="0" w:type="dxa"/>
            <w:left w:w="108" w:type="dxa"/>
            <w:bottom w:w="0" w:type="dxa"/>
            <w:right w:w="108" w:type="dxa"/>
          </w:tblCellMar>
        </w:tblPrEx>
        <w:trPr>
          <w:trHeight w:val="555" w:hRule="atLeast"/>
        </w:trPr>
        <w:tc>
          <w:tcPr>
            <w:tcW w:w="9923" w:type="dxa"/>
            <w:gridSpan w:val="13"/>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3"/>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18" w:type="dxa"/>
            <w:gridSpan w:val="1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社区工作人员补贴</w:t>
            </w:r>
          </w:p>
        </w:tc>
      </w:tr>
      <w:tr>
        <w:tblPrEx>
          <w:tblCellMar>
            <w:top w:w="0" w:type="dxa"/>
            <w:left w:w="108" w:type="dxa"/>
            <w:bottom w:w="0" w:type="dxa"/>
            <w:right w:w="108" w:type="dxa"/>
          </w:tblCellMar>
        </w:tblPrEx>
        <w:trPr>
          <w:trHeight w:val="600" w:hRule="atLeast"/>
        </w:trPr>
        <w:tc>
          <w:tcPr>
            <w:tcW w:w="120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74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68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0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2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  预算数</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9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84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0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8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9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84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0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36</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37.8</w:t>
            </w:r>
          </w:p>
        </w:tc>
        <w:tc>
          <w:tcPr>
            <w:tcW w:w="12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37.60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99.5%</w:t>
            </w:r>
          </w:p>
        </w:tc>
        <w:tc>
          <w:tcPr>
            <w:tcW w:w="184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w:t>
            </w:r>
          </w:p>
        </w:tc>
      </w:tr>
      <w:tr>
        <w:tblPrEx>
          <w:tblCellMar>
            <w:top w:w="0" w:type="dxa"/>
            <w:left w:w="108" w:type="dxa"/>
            <w:bottom w:w="0" w:type="dxa"/>
            <w:right w:w="108" w:type="dxa"/>
          </w:tblCellMar>
        </w:tblPrEx>
        <w:trPr>
          <w:trHeight w:val="600" w:hRule="atLeast"/>
        </w:trPr>
        <w:tc>
          <w:tcPr>
            <w:tcW w:w="120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36</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37.8</w:t>
            </w:r>
          </w:p>
        </w:tc>
        <w:tc>
          <w:tcPr>
            <w:tcW w:w="12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37.60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99.5%</w:t>
            </w:r>
          </w:p>
        </w:tc>
        <w:tc>
          <w:tcPr>
            <w:tcW w:w="184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0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0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9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74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76"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74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通过项目的开展，按时按量发放社区工作者补贴，实现提高工作完成率、社区工作者满意目标</w:t>
            </w:r>
          </w:p>
        </w:tc>
        <w:tc>
          <w:tcPr>
            <w:tcW w:w="4976"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通过项目的开展，按时按量发放社区工作者补贴，实现提高工作完成率、社区工作者满意目标</w:t>
            </w:r>
          </w:p>
        </w:tc>
      </w:tr>
      <w:tr>
        <w:tblPrEx>
          <w:tblCellMar>
            <w:top w:w="0" w:type="dxa"/>
            <w:left w:w="108" w:type="dxa"/>
            <w:bottom w:w="0" w:type="dxa"/>
            <w:right w:w="108" w:type="dxa"/>
          </w:tblCellMar>
        </w:tblPrEx>
        <w:trPr>
          <w:trHeight w:val="345" w:hRule="atLeast"/>
        </w:trPr>
        <w:tc>
          <w:tcPr>
            <w:tcW w:w="120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52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0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21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6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1039"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21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6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039"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215"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人数</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r>
              <w:rPr>
                <w:rFonts w:hint="eastAsia" w:ascii="宋体" w:hAnsi="宋体"/>
                <w:color w:val="000000"/>
                <w:kern w:val="0"/>
                <w:sz w:val="24"/>
              </w:rPr>
              <w:t>个</w:t>
            </w:r>
          </w:p>
        </w:tc>
        <w:tc>
          <w:tcPr>
            <w:tcW w:w="10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r>
              <w:rPr>
                <w:rFonts w:hint="eastAsia" w:ascii="宋体" w:hAnsi="宋体"/>
                <w:color w:val="000000"/>
                <w:kern w:val="0"/>
                <w:sz w:val="24"/>
              </w:rPr>
              <w:t>个</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215"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出勤率</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0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215"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10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21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37.8</w:t>
            </w:r>
            <w:r>
              <w:rPr>
                <w:rFonts w:hint="eastAsia" w:ascii="宋体" w:hAnsi="宋体"/>
                <w:color w:val="000000"/>
                <w:kern w:val="0"/>
                <w:sz w:val="24"/>
              </w:rPr>
              <w:t>万元</w:t>
            </w:r>
          </w:p>
        </w:tc>
        <w:tc>
          <w:tcPr>
            <w:tcW w:w="10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37.6</w:t>
            </w:r>
            <w:r>
              <w:rPr>
                <w:rFonts w:hint="eastAsia" w:ascii="宋体" w:hAnsi="宋体"/>
                <w:color w:val="000000"/>
                <w:kern w:val="0"/>
                <w:sz w:val="24"/>
              </w:rPr>
              <w:t>万元</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w:t>
            </w:r>
          </w:p>
        </w:tc>
        <w:tc>
          <w:tcPr>
            <w:tcW w:w="1559"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一名工作人员离职</w:t>
            </w:r>
          </w:p>
        </w:tc>
      </w:tr>
      <w:tr>
        <w:tblPrEx>
          <w:tblCellMar>
            <w:top w:w="0" w:type="dxa"/>
            <w:left w:w="108" w:type="dxa"/>
            <w:bottom w:w="0" w:type="dxa"/>
            <w:right w:w="108" w:type="dxa"/>
          </w:tblCellMar>
        </w:tblPrEx>
        <w:trPr>
          <w:trHeight w:val="600"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21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21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工作完成率</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0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215"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21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20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2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0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215"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6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0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947"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fixed"/>
        <w:tblCellMar>
          <w:top w:w="0" w:type="dxa"/>
          <w:left w:w="108" w:type="dxa"/>
          <w:bottom w:w="0" w:type="dxa"/>
          <w:right w:w="108" w:type="dxa"/>
        </w:tblCellMar>
      </w:tblPr>
      <w:tblGrid>
        <w:gridCol w:w="989"/>
        <w:gridCol w:w="168"/>
        <w:gridCol w:w="420"/>
        <w:gridCol w:w="1123"/>
        <w:gridCol w:w="136"/>
        <w:gridCol w:w="856"/>
        <w:gridCol w:w="987"/>
        <w:gridCol w:w="992"/>
        <w:gridCol w:w="283"/>
        <w:gridCol w:w="993"/>
        <w:gridCol w:w="141"/>
        <w:gridCol w:w="718"/>
        <w:gridCol w:w="133"/>
        <w:gridCol w:w="567"/>
        <w:gridCol w:w="1417"/>
      </w:tblGrid>
      <w:tr>
        <w:tblPrEx>
          <w:tblCellMar>
            <w:top w:w="0" w:type="dxa"/>
            <w:left w:w="108" w:type="dxa"/>
            <w:bottom w:w="0" w:type="dxa"/>
            <w:right w:w="108" w:type="dxa"/>
          </w:tblCellMar>
        </w:tblPrEx>
        <w:trPr>
          <w:trHeight w:val="555" w:hRule="atLeast"/>
        </w:trPr>
        <w:tc>
          <w:tcPr>
            <w:tcW w:w="9923" w:type="dxa"/>
            <w:gridSpan w:val="15"/>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5"/>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1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66" w:type="dxa"/>
            <w:gridSpan w:val="1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政府向社会购买服务专项经费</w:t>
            </w:r>
          </w:p>
        </w:tc>
      </w:tr>
      <w:tr>
        <w:tblPrEx>
          <w:tblCellMar>
            <w:top w:w="0" w:type="dxa"/>
            <w:left w:w="108" w:type="dxa"/>
            <w:bottom w:w="0" w:type="dxa"/>
            <w:right w:w="108" w:type="dxa"/>
          </w:tblCellMar>
        </w:tblPrEx>
        <w:trPr>
          <w:trHeight w:val="600" w:hRule="atLeast"/>
        </w:trPr>
        <w:tc>
          <w:tcPr>
            <w:tcW w:w="1157"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522"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7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969"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15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4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 预算数</w:t>
            </w:r>
          </w:p>
        </w:tc>
        <w:tc>
          <w:tcPr>
            <w:tcW w:w="987"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7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2"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98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15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4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87"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8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15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4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284</w:t>
            </w:r>
          </w:p>
        </w:tc>
        <w:tc>
          <w:tcPr>
            <w:tcW w:w="98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221.38</w:t>
            </w:r>
          </w:p>
        </w:tc>
        <w:tc>
          <w:tcPr>
            <w:tcW w:w="127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210.12 </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2"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94.9%</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9.4</w:t>
            </w:r>
          </w:p>
        </w:tc>
      </w:tr>
      <w:tr>
        <w:tblPrEx>
          <w:tblCellMar>
            <w:top w:w="0" w:type="dxa"/>
            <w:left w:w="108" w:type="dxa"/>
            <w:bottom w:w="0" w:type="dxa"/>
            <w:right w:w="108" w:type="dxa"/>
          </w:tblCellMar>
        </w:tblPrEx>
        <w:trPr>
          <w:trHeight w:val="600" w:hRule="atLeast"/>
        </w:trPr>
        <w:tc>
          <w:tcPr>
            <w:tcW w:w="115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4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284</w:t>
            </w:r>
          </w:p>
        </w:tc>
        <w:tc>
          <w:tcPr>
            <w:tcW w:w="98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221.38</w:t>
            </w:r>
          </w:p>
        </w:tc>
        <w:tc>
          <w:tcPr>
            <w:tcW w:w="127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210.12 </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94.9%</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5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4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8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5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4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8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98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690"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5244"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690"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通过按时按量发放政府购买人员工资，实现提高工作完成率、提升业务能力、提高政府购买人员满意度的目标。</w:t>
            </w:r>
          </w:p>
        </w:tc>
        <w:tc>
          <w:tcPr>
            <w:tcW w:w="5244"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通过按时按量发放政府购买人员工资，实现提高工作完成率、提升业务能力、提高政府购买人员满意度的目标。</w:t>
            </w:r>
          </w:p>
        </w:tc>
      </w:tr>
      <w:tr>
        <w:tblPrEx>
          <w:tblCellMar>
            <w:top w:w="0" w:type="dxa"/>
            <w:left w:w="108" w:type="dxa"/>
            <w:bottom w:w="0" w:type="dxa"/>
            <w:right w:w="108" w:type="dxa"/>
          </w:tblCellMar>
        </w:tblPrEx>
        <w:trPr>
          <w:trHeight w:val="345" w:hRule="atLeast"/>
        </w:trPr>
        <w:tc>
          <w:tcPr>
            <w:tcW w:w="98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c>
          <w:tcPr>
            <w:tcW w:w="588"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259"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184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1417" w:type="dxa"/>
            <w:gridSpan w:val="3"/>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  完成值</w:t>
            </w:r>
          </w:p>
        </w:tc>
        <w:tc>
          <w:tcPr>
            <w:tcW w:w="7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41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259"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84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7" w:type="dxa"/>
            <w:gridSpan w:val="3"/>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417"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25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1843"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人数</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58</w:t>
            </w:r>
            <w:r>
              <w:rPr>
                <w:rFonts w:hint="eastAsia" w:ascii="宋体" w:hAnsi="宋体"/>
                <w:color w:val="000000"/>
                <w:kern w:val="0"/>
                <w:sz w:val="24"/>
              </w:rPr>
              <w:t>人</w:t>
            </w:r>
          </w:p>
        </w:tc>
        <w:tc>
          <w:tcPr>
            <w:tcW w:w="1417"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58</w:t>
            </w:r>
            <w:r>
              <w:rPr>
                <w:rFonts w:hint="eastAsia" w:ascii="宋体" w:hAnsi="宋体"/>
                <w:color w:val="000000"/>
                <w:kern w:val="0"/>
                <w:sz w:val="24"/>
              </w:rPr>
              <w:t>人</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25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1843"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出勤率</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417"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25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1843"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1417"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1545"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25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1843"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221.381366</w:t>
            </w:r>
            <w:r>
              <w:rPr>
                <w:rFonts w:hint="eastAsia" w:ascii="宋体" w:hAnsi="宋体"/>
                <w:color w:val="000000"/>
                <w:kern w:val="0"/>
                <w:sz w:val="24"/>
              </w:rPr>
              <w:t>万元</w:t>
            </w:r>
          </w:p>
        </w:tc>
        <w:tc>
          <w:tcPr>
            <w:tcW w:w="1417"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210.12</w:t>
            </w:r>
            <w:r>
              <w:rPr>
                <w:rFonts w:hint="eastAsia" w:ascii="宋体" w:hAnsi="宋体"/>
                <w:color w:val="000000"/>
                <w:kern w:val="0"/>
                <w:sz w:val="24"/>
              </w:rPr>
              <w:t>万元</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9.4</w:t>
            </w:r>
          </w:p>
        </w:tc>
        <w:tc>
          <w:tcPr>
            <w:tcW w:w="1417"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经费为全年经费，根据政府要求，10月份新招聘政府购买服务人员。</w:t>
            </w:r>
          </w:p>
        </w:tc>
      </w:tr>
      <w:tr>
        <w:tblPrEx>
          <w:tblCellMar>
            <w:top w:w="0" w:type="dxa"/>
            <w:left w:w="108" w:type="dxa"/>
            <w:bottom w:w="0" w:type="dxa"/>
            <w:right w:w="108" w:type="dxa"/>
          </w:tblCellMar>
        </w:tblPrEx>
        <w:trPr>
          <w:trHeight w:val="600"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25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1843"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7"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25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1843"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各项工作按时按量的完成率</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417"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25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1843"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7"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25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1843"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7"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9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8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25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1843"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417"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7088" w:type="dxa"/>
            <w:gridSpan w:val="11"/>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1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99.4</w:t>
            </w:r>
          </w:p>
        </w:tc>
        <w:tc>
          <w:tcPr>
            <w:tcW w:w="1417"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218"/>
        <w:gridCol w:w="512"/>
        <w:gridCol w:w="1006"/>
        <w:gridCol w:w="962"/>
        <w:gridCol w:w="992"/>
        <w:gridCol w:w="981"/>
        <w:gridCol w:w="283"/>
        <w:gridCol w:w="709"/>
        <w:gridCol w:w="284"/>
        <w:gridCol w:w="425"/>
        <w:gridCol w:w="709"/>
        <w:gridCol w:w="1842"/>
      </w:tblGrid>
      <w:tr>
        <w:tblPrEx>
          <w:tblCellMar>
            <w:top w:w="0" w:type="dxa"/>
            <w:left w:w="108" w:type="dxa"/>
            <w:bottom w:w="0" w:type="dxa"/>
            <w:right w:w="108" w:type="dxa"/>
          </w:tblCellMar>
        </w:tblPrEx>
        <w:trPr>
          <w:trHeight w:val="555" w:hRule="atLeast"/>
        </w:trPr>
        <w:tc>
          <w:tcPr>
            <w:tcW w:w="9923" w:type="dxa"/>
            <w:gridSpan w:val="12"/>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2"/>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05" w:type="dxa"/>
            <w:gridSpan w:val="11"/>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xml:space="preserve"> 创建省级文明县城专项资金</w:t>
            </w:r>
          </w:p>
        </w:tc>
      </w:tr>
      <w:tr>
        <w:tblPrEx>
          <w:tblCellMar>
            <w:top w:w="0" w:type="dxa"/>
            <w:left w:w="108" w:type="dxa"/>
            <w:bottom w:w="0" w:type="dxa"/>
            <w:right w:w="108" w:type="dxa"/>
          </w:tblCellMar>
        </w:tblPrEx>
        <w:trPr>
          <w:trHeight w:val="600" w:hRule="atLeast"/>
        </w:trPr>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47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96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1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6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99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113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8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6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96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0.00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15.00 </w:t>
            </w:r>
          </w:p>
        </w:tc>
        <w:tc>
          <w:tcPr>
            <w:tcW w:w="12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15.00 </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96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0.00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15.00 </w:t>
            </w:r>
          </w:p>
        </w:tc>
        <w:tc>
          <w:tcPr>
            <w:tcW w:w="12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15.00 </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96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96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6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47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5233"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47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kern w:val="0"/>
                <w:sz w:val="24"/>
              </w:rPr>
            </w:pPr>
            <w:r>
              <w:rPr>
                <w:rFonts w:hint="eastAsia" w:ascii="宋体" w:hAnsi="宋体" w:cs="宋体"/>
                <w:kern w:val="0"/>
                <w:sz w:val="24"/>
              </w:rPr>
              <w:t>根据创城工作需要，购置创城工作活动设备，完成各项创城工作；制作宣传牌、宣创页等印刷品，传播正能量，进一步提升居民综合素质。</w:t>
            </w:r>
          </w:p>
        </w:tc>
        <w:tc>
          <w:tcPr>
            <w:tcW w:w="5233"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kern w:val="0"/>
                <w:sz w:val="24"/>
              </w:rPr>
            </w:pPr>
            <w:r>
              <w:rPr>
                <w:rFonts w:hint="eastAsia" w:ascii="宋体" w:hAnsi="宋体" w:cs="宋体"/>
                <w:kern w:val="0"/>
                <w:sz w:val="24"/>
              </w:rPr>
              <w:t>根据创城工作需要，购置创城工作活动设备，完成各项创城工作；制作宣传牌、宣创页等印刷品，传播正能量，进一步提升居民综合素质。</w:t>
            </w:r>
          </w:p>
        </w:tc>
      </w:tr>
      <w:tr>
        <w:tblPrEx>
          <w:tblCellMar>
            <w:top w:w="0" w:type="dxa"/>
            <w:left w:w="108" w:type="dxa"/>
            <w:bottom w:w="0" w:type="dxa"/>
            <w:right w:w="108" w:type="dxa"/>
          </w:tblCellMar>
        </w:tblPrEx>
        <w:trPr>
          <w:trHeight w:val="345" w:hRule="atLeast"/>
        </w:trPr>
        <w:tc>
          <w:tcPr>
            <w:tcW w:w="12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c>
          <w:tcPr>
            <w:tcW w:w="51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0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195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92"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84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5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84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1954"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创城工作活动设备数量</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16</w:t>
            </w:r>
            <w:r>
              <w:rPr>
                <w:rFonts w:hint="eastAsia" w:ascii="宋体" w:hAnsi="宋体"/>
                <w:color w:val="000000"/>
                <w:kern w:val="0"/>
                <w:sz w:val="24"/>
              </w:rPr>
              <w:t>件</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16</w:t>
            </w:r>
            <w:r>
              <w:rPr>
                <w:rFonts w:hint="eastAsia" w:ascii="宋体" w:hAnsi="宋体"/>
                <w:color w:val="000000"/>
                <w:kern w:val="0"/>
                <w:sz w:val="24"/>
              </w:rPr>
              <w:t>件</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1954"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设备合格率</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1954"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实际支出时间</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w:t>
            </w:r>
            <w:r>
              <w:rPr>
                <w:rFonts w:hint="eastAsia" w:ascii="宋体" w:hAnsi="宋体"/>
                <w:color w:val="000000"/>
                <w:kern w:val="0"/>
                <w:sz w:val="24"/>
              </w:rPr>
              <w:t>月份</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1954"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r>
              <w:rPr>
                <w:rFonts w:hint="eastAsia" w:ascii="宋体" w:hAnsi="宋体"/>
                <w:color w:val="000000"/>
                <w:kern w:val="0"/>
                <w:sz w:val="24"/>
              </w:rPr>
              <w:t>万元</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r>
              <w:rPr>
                <w:rFonts w:hint="eastAsia" w:ascii="宋体" w:hAnsi="宋体"/>
                <w:color w:val="000000"/>
                <w:kern w:val="0"/>
                <w:sz w:val="24"/>
              </w:rPr>
              <w:t>万元</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842"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1954"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1954"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完成小区宣传率</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1954"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1954"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1954"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663"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84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090"/>
        <w:gridCol w:w="126"/>
        <w:gridCol w:w="509"/>
        <w:gridCol w:w="1021"/>
        <w:gridCol w:w="1081"/>
        <w:gridCol w:w="992"/>
        <w:gridCol w:w="1083"/>
        <w:gridCol w:w="194"/>
        <w:gridCol w:w="709"/>
        <w:gridCol w:w="142"/>
        <w:gridCol w:w="708"/>
        <w:gridCol w:w="142"/>
        <w:gridCol w:w="567"/>
        <w:gridCol w:w="1559"/>
      </w:tblGrid>
      <w:tr>
        <w:tblPrEx>
          <w:tblCellMar>
            <w:top w:w="0" w:type="dxa"/>
            <w:left w:w="108" w:type="dxa"/>
            <w:bottom w:w="0" w:type="dxa"/>
            <w:right w:w="108" w:type="dxa"/>
          </w:tblCellMar>
        </w:tblPrEx>
        <w:trPr>
          <w:trHeight w:val="555"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07" w:type="dxa"/>
            <w:gridSpan w:val="1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“气代煤”工程</w:t>
            </w:r>
          </w:p>
        </w:tc>
      </w:tr>
      <w:tr>
        <w:tblPrEx>
          <w:tblCellMar>
            <w:top w:w="0" w:type="dxa"/>
            <w:left w:w="108" w:type="dxa"/>
            <w:bottom w:w="0" w:type="dxa"/>
            <w:right w:w="108" w:type="dxa"/>
          </w:tblCellMar>
        </w:tblPrEx>
        <w:trPr>
          <w:trHeight w:val="600" w:hRule="atLeast"/>
        </w:trPr>
        <w:tc>
          <w:tcPr>
            <w:tcW w:w="12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603"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7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827"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1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3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8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7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2"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212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3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8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7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12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3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325.3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325.3</w:t>
            </w:r>
          </w:p>
        </w:tc>
        <w:tc>
          <w:tcPr>
            <w:tcW w:w="127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324.82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2"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w:t>
            </w:r>
          </w:p>
        </w:tc>
      </w:tr>
      <w:tr>
        <w:tblPrEx>
          <w:tblCellMar>
            <w:top w:w="0" w:type="dxa"/>
            <w:left w:w="108" w:type="dxa"/>
            <w:bottom w:w="0" w:type="dxa"/>
            <w:right w:w="108" w:type="dxa"/>
          </w:tblCellMar>
        </w:tblPrEx>
        <w:trPr>
          <w:trHeight w:val="600" w:hRule="atLeast"/>
        </w:trPr>
        <w:tc>
          <w:tcPr>
            <w:tcW w:w="12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3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325.3</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325.3</w:t>
            </w:r>
          </w:p>
        </w:tc>
        <w:tc>
          <w:tcPr>
            <w:tcW w:w="127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324.82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3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3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08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7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09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72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5104"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72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做好辖区内“气代煤”补贴户数的统计核对工作，清算“气代煤”炉具安装补贴资金，将补贴资金发放到位。</w:t>
            </w:r>
          </w:p>
        </w:tc>
        <w:tc>
          <w:tcPr>
            <w:tcW w:w="5104"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做好辖区内“气代煤”补贴户数的统计核对工作，清算“气代煤”炉具安装补贴资金，将补贴资金发放到位。</w:t>
            </w:r>
          </w:p>
        </w:tc>
      </w:tr>
      <w:tr>
        <w:tblPrEx>
          <w:tblCellMar>
            <w:top w:w="0" w:type="dxa"/>
            <w:left w:w="108" w:type="dxa"/>
            <w:bottom w:w="0" w:type="dxa"/>
            <w:right w:w="108" w:type="dxa"/>
          </w:tblCellMar>
        </w:tblPrEx>
        <w:trPr>
          <w:trHeight w:val="345" w:hRule="atLeast"/>
        </w:trPr>
        <w:tc>
          <w:tcPr>
            <w:tcW w:w="1090"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c>
          <w:tcPr>
            <w:tcW w:w="635"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2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07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10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1045" w:type="dxa"/>
            <w:gridSpan w:val="3"/>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07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8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045" w:type="dxa"/>
            <w:gridSpan w:val="3"/>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073"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户数</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1008</w:t>
            </w:r>
            <w:r>
              <w:rPr>
                <w:rFonts w:hint="eastAsia" w:ascii="宋体" w:hAnsi="宋体"/>
                <w:color w:val="000000"/>
                <w:kern w:val="0"/>
                <w:sz w:val="24"/>
              </w:rPr>
              <w:t>户</w:t>
            </w:r>
          </w:p>
        </w:tc>
        <w:tc>
          <w:tcPr>
            <w:tcW w:w="1045"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1008</w:t>
            </w:r>
            <w:r>
              <w:rPr>
                <w:rFonts w:hint="eastAsia" w:ascii="宋体" w:hAnsi="宋体"/>
                <w:color w:val="000000"/>
                <w:kern w:val="0"/>
                <w:sz w:val="24"/>
              </w:rPr>
              <w:t>户</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rPr>
          <w:trHeight w:val="600"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073"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验收合格率</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1045"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073"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实际支出时间</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1045"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073"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325.3</w:t>
            </w:r>
            <w:r>
              <w:rPr>
                <w:rFonts w:hint="eastAsia" w:ascii="宋体" w:hAnsi="宋体"/>
                <w:color w:val="000000"/>
                <w:kern w:val="0"/>
                <w:sz w:val="24"/>
              </w:rPr>
              <w:t>万元</w:t>
            </w:r>
          </w:p>
        </w:tc>
        <w:tc>
          <w:tcPr>
            <w:tcW w:w="1045"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324.82</w:t>
            </w:r>
            <w:r>
              <w:rPr>
                <w:rFonts w:hint="eastAsia" w:ascii="宋体" w:hAnsi="宋体"/>
                <w:color w:val="000000"/>
                <w:kern w:val="0"/>
                <w:sz w:val="24"/>
              </w:rPr>
              <w:t>万元</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w:t>
            </w:r>
          </w:p>
        </w:tc>
        <w:tc>
          <w:tcPr>
            <w:tcW w:w="1559"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073"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45"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073"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补贴户数比率</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1045"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073"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45"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073"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45"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090"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2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073"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108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045" w:type="dxa"/>
            <w:gridSpan w:val="3"/>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947"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085"/>
        <w:gridCol w:w="125"/>
        <w:gridCol w:w="506"/>
        <w:gridCol w:w="1015"/>
        <w:gridCol w:w="939"/>
        <w:gridCol w:w="992"/>
        <w:gridCol w:w="1140"/>
        <w:gridCol w:w="104"/>
        <w:gridCol w:w="912"/>
        <w:gridCol w:w="709"/>
        <w:gridCol w:w="283"/>
        <w:gridCol w:w="424"/>
        <w:gridCol w:w="1689"/>
      </w:tblGrid>
      <w:tr>
        <w:tblPrEx>
          <w:tblCellMar>
            <w:top w:w="0" w:type="dxa"/>
            <w:left w:w="108" w:type="dxa"/>
            <w:bottom w:w="0" w:type="dxa"/>
            <w:right w:w="108" w:type="dxa"/>
          </w:tblCellMar>
        </w:tblPrEx>
        <w:trPr>
          <w:trHeight w:val="555" w:hRule="atLeast"/>
        </w:trPr>
        <w:tc>
          <w:tcPr>
            <w:tcW w:w="9923" w:type="dxa"/>
            <w:gridSpan w:val="13"/>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3"/>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09" w:type="dxa"/>
            <w:gridSpan w:val="11"/>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城区老旧住宅小区公共基础设施和背街小巷道路改造提升工程</w:t>
            </w:r>
          </w:p>
        </w:tc>
      </w:tr>
      <w:tr>
        <w:tblPrEx>
          <w:tblCellMar>
            <w:top w:w="0" w:type="dxa"/>
            <w:left w:w="108" w:type="dxa"/>
            <w:bottom w:w="0" w:type="dxa"/>
            <w:right w:w="108" w:type="dxa"/>
          </w:tblCellMar>
        </w:tblPrEx>
        <w:trPr>
          <w:trHeight w:val="600" w:hRule="atLeast"/>
        </w:trPr>
        <w:tc>
          <w:tcPr>
            <w:tcW w:w="121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458"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4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4006"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1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2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3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4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8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212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1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3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4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8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12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93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1021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1021</w:t>
            </w:r>
          </w:p>
        </w:tc>
        <w:tc>
          <w:tcPr>
            <w:tcW w:w="124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1020.45</w:t>
            </w:r>
          </w:p>
        </w:tc>
        <w:tc>
          <w:tcPr>
            <w:tcW w:w="88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w:t>
            </w:r>
          </w:p>
        </w:tc>
      </w:tr>
      <w:tr>
        <w:tblPrEx>
          <w:tblCellMar>
            <w:top w:w="0" w:type="dxa"/>
            <w:left w:w="108" w:type="dxa"/>
            <w:bottom w:w="0" w:type="dxa"/>
            <w:right w:w="108" w:type="dxa"/>
          </w:tblCellMar>
        </w:tblPrEx>
        <w:trPr>
          <w:trHeight w:val="600" w:hRule="atLeast"/>
        </w:trPr>
        <w:tc>
          <w:tcPr>
            <w:tcW w:w="121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93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1021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1021</w:t>
            </w:r>
          </w:p>
        </w:tc>
        <w:tc>
          <w:tcPr>
            <w:tcW w:w="124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1020.45</w:t>
            </w:r>
          </w:p>
        </w:tc>
        <w:tc>
          <w:tcPr>
            <w:tcW w:w="88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93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4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8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93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45"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8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212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08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58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5251"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702"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58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通过项目的开展按质按量完成工程量，实现基础设施完好率、小区居民满意的目标</w:t>
            </w:r>
          </w:p>
        </w:tc>
        <w:tc>
          <w:tcPr>
            <w:tcW w:w="5251"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通过项目的开展按质按量完成工程量，实现基础设施完好率、小区居民满意的目标</w:t>
            </w:r>
          </w:p>
        </w:tc>
      </w:tr>
      <w:tr>
        <w:tblPrEx>
          <w:tblCellMar>
            <w:top w:w="0" w:type="dxa"/>
            <w:left w:w="108" w:type="dxa"/>
            <w:bottom w:w="0" w:type="dxa"/>
            <w:right w:w="108" w:type="dxa"/>
          </w:tblCellMar>
        </w:tblPrEx>
        <w:trPr>
          <w:trHeight w:val="345" w:hRule="atLeast"/>
        </w:trPr>
        <w:tc>
          <w:tcPr>
            <w:tcW w:w="108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63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1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193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114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92"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3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4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1931"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改造小区个数</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55</w:t>
            </w:r>
            <w:r>
              <w:rPr>
                <w:rFonts w:hint="eastAsia" w:ascii="宋体" w:hAnsi="宋体"/>
                <w:color w:val="000000"/>
                <w:kern w:val="0"/>
                <w:sz w:val="24"/>
              </w:rPr>
              <w:t>个</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55</w:t>
            </w:r>
            <w:r>
              <w:rPr>
                <w:rFonts w:hint="eastAsia" w:ascii="宋体" w:hAnsi="宋体"/>
                <w:color w:val="000000"/>
                <w:kern w:val="0"/>
                <w:sz w:val="24"/>
              </w:rPr>
              <w:t>个</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1931"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工程验收合格率</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1931"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工程竣工时间</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7</w:t>
            </w:r>
            <w:r>
              <w:rPr>
                <w:rFonts w:hint="eastAsia" w:ascii="宋体" w:hAnsi="宋体"/>
                <w:color w:val="000000"/>
                <w:kern w:val="0"/>
                <w:sz w:val="24"/>
              </w:rPr>
              <w:t>月份</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1931"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1021</w:t>
            </w:r>
            <w:r>
              <w:rPr>
                <w:rFonts w:hint="eastAsia" w:ascii="宋体" w:hAnsi="宋体"/>
                <w:color w:val="000000"/>
                <w:kern w:val="0"/>
                <w:sz w:val="24"/>
              </w:rPr>
              <w:t>万元</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1020.45</w:t>
            </w:r>
            <w:r>
              <w:rPr>
                <w:rFonts w:hint="eastAsia" w:ascii="宋体" w:hAnsi="宋体"/>
                <w:color w:val="000000"/>
                <w:kern w:val="0"/>
                <w:sz w:val="24"/>
              </w:rPr>
              <w:t>万元</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1931"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1931"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基础设施完好率</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1931"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1931"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08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1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1931"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小区居民满意度</w:t>
            </w:r>
          </w:p>
        </w:tc>
        <w:tc>
          <w:tcPr>
            <w:tcW w:w="114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80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99.9</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185"/>
        <w:gridCol w:w="508"/>
        <w:gridCol w:w="971"/>
        <w:gridCol w:w="114"/>
        <w:gridCol w:w="1134"/>
        <w:gridCol w:w="1152"/>
        <w:gridCol w:w="876"/>
        <w:gridCol w:w="440"/>
        <w:gridCol w:w="567"/>
        <w:gridCol w:w="283"/>
        <w:gridCol w:w="425"/>
        <w:gridCol w:w="567"/>
        <w:gridCol w:w="142"/>
        <w:gridCol w:w="1559"/>
      </w:tblGrid>
      <w:tr>
        <w:tblPrEx>
          <w:tblCellMar>
            <w:top w:w="0" w:type="dxa"/>
            <w:left w:w="108" w:type="dxa"/>
            <w:bottom w:w="0" w:type="dxa"/>
            <w:right w:w="108" w:type="dxa"/>
          </w:tblCellMar>
        </w:tblPrEx>
        <w:trPr>
          <w:trHeight w:val="555"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38" w:type="dxa"/>
            <w:gridSpan w:val="1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老旧小区二期工程前期费用</w:t>
            </w:r>
          </w:p>
        </w:tc>
      </w:tr>
      <w:tr>
        <w:tblPrEx>
          <w:tblCellMar>
            <w:top w:w="0" w:type="dxa"/>
            <w:left w:w="108" w:type="dxa"/>
            <w:bottom w:w="0" w:type="dxa"/>
            <w:right w:w="108" w:type="dxa"/>
          </w:tblCellMar>
        </w:tblPrEx>
        <w:trPr>
          <w:trHeight w:val="600" w:hRule="atLeast"/>
        </w:trPr>
        <w:tc>
          <w:tcPr>
            <w:tcW w:w="11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87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543"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1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93"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115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316"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70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93"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5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3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66.24</w:t>
            </w:r>
          </w:p>
        </w:tc>
        <w:tc>
          <w:tcPr>
            <w:tcW w:w="115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40.512</w:t>
            </w: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38.9864</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96.2%</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9.6</w:t>
            </w:r>
          </w:p>
        </w:tc>
      </w:tr>
      <w:tr>
        <w:tblPrEx>
          <w:tblCellMar>
            <w:top w:w="0" w:type="dxa"/>
            <w:left w:w="108" w:type="dxa"/>
            <w:bottom w:w="0" w:type="dxa"/>
            <w:right w:w="108" w:type="dxa"/>
          </w:tblCellMar>
        </w:tblPrEx>
        <w:trPr>
          <w:trHeight w:val="600" w:hRule="atLeast"/>
        </w:trPr>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66.24</w:t>
            </w:r>
          </w:p>
        </w:tc>
        <w:tc>
          <w:tcPr>
            <w:tcW w:w="115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40.512</w:t>
            </w: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38.9864</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96.2%</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5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134"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5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316"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8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87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859"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050"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87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通过项目的开展按质按量的完成工程量，实现基础设施完好、受益群众满意的目标。</w:t>
            </w:r>
          </w:p>
        </w:tc>
        <w:tc>
          <w:tcPr>
            <w:tcW w:w="4859"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通过项目的开展按质按量的完成工程量，实现基础设施完好、受益群众满意的目标。</w:t>
            </w:r>
          </w:p>
        </w:tc>
      </w:tr>
      <w:tr>
        <w:tblPrEx>
          <w:tblCellMar>
            <w:top w:w="0" w:type="dxa"/>
            <w:left w:w="108" w:type="dxa"/>
            <w:bottom w:w="0" w:type="dxa"/>
            <w:right w:w="108" w:type="dxa"/>
          </w:tblCellMar>
        </w:tblPrEx>
        <w:trPr>
          <w:trHeight w:val="345" w:hRule="atLeast"/>
        </w:trPr>
        <w:tc>
          <w:tcPr>
            <w:tcW w:w="1185"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50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97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400"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1007"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40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76"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007"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97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400"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改造小区数量</w:t>
            </w:r>
          </w:p>
        </w:tc>
        <w:tc>
          <w:tcPr>
            <w:tcW w:w="8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42</w:t>
            </w:r>
            <w:r>
              <w:rPr>
                <w:rFonts w:hint="eastAsia" w:ascii="宋体" w:hAnsi="宋体"/>
                <w:color w:val="000000"/>
                <w:kern w:val="0"/>
                <w:sz w:val="24"/>
              </w:rPr>
              <w:t>个</w:t>
            </w:r>
          </w:p>
        </w:tc>
        <w:tc>
          <w:tcPr>
            <w:tcW w:w="1007"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42</w:t>
            </w:r>
            <w:r>
              <w:rPr>
                <w:rFonts w:hint="eastAsia" w:ascii="宋体" w:hAnsi="宋体"/>
                <w:color w:val="000000"/>
                <w:kern w:val="0"/>
                <w:sz w:val="24"/>
              </w:rPr>
              <w:t>个</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400"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验收合格率</w:t>
            </w:r>
          </w:p>
        </w:tc>
        <w:tc>
          <w:tcPr>
            <w:tcW w:w="8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007"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400"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8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1007"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r>
              <w:rPr>
                <w:rFonts w:hint="eastAsia" w:ascii="宋体" w:hAnsi="宋体"/>
                <w:color w:val="000000"/>
                <w:kern w:val="0"/>
                <w:sz w:val="24"/>
              </w:rPr>
              <w:t>月份</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8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40.512</w:t>
            </w:r>
            <w:r>
              <w:rPr>
                <w:rFonts w:hint="eastAsia" w:ascii="宋体" w:hAnsi="宋体"/>
                <w:color w:val="000000"/>
                <w:kern w:val="0"/>
                <w:sz w:val="24"/>
              </w:rPr>
              <w:t>万元</w:t>
            </w:r>
          </w:p>
        </w:tc>
        <w:tc>
          <w:tcPr>
            <w:tcW w:w="1007"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38.9864</w:t>
            </w:r>
            <w:r>
              <w:rPr>
                <w:rFonts w:hint="eastAsia" w:ascii="宋体" w:hAnsi="宋体"/>
                <w:color w:val="000000"/>
                <w:kern w:val="0"/>
                <w:sz w:val="24"/>
              </w:rPr>
              <w:t>万元</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9.6</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剩余1.5256万元为质保金。</w:t>
            </w:r>
          </w:p>
        </w:tc>
      </w:tr>
      <w:tr>
        <w:tblPrEx>
          <w:tblCellMar>
            <w:top w:w="0" w:type="dxa"/>
            <w:left w:w="108" w:type="dxa"/>
            <w:bottom w:w="0" w:type="dxa"/>
            <w:right w:w="108" w:type="dxa"/>
          </w:tblCellMar>
        </w:tblPrEx>
        <w:trPr>
          <w:trHeight w:val="600"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97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07"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基础设施完好率</w:t>
            </w:r>
          </w:p>
        </w:tc>
        <w:tc>
          <w:tcPr>
            <w:tcW w:w="8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007"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400"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07"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8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07"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185"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97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400"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小区居民满意度</w:t>
            </w:r>
          </w:p>
        </w:tc>
        <w:tc>
          <w:tcPr>
            <w:tcW w:w="87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1007"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94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99.6</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192"/>
        <w:gridCol w:w="503"/>
        <w:gridCol w:w="824"/>
        <w:gridCol w:w="146"/>
        <w:gridCol w:w="988"/>
        <w:gridCol w:w="992"/>
        <w:gridCol w:w="1026"/>
        <w:gridCol w:w="142"/>
        <w:gridCol w:w="850"/>
        <w:gridCol w:w="142"/>
        <w:gridCol w:w="709"/>
        <w:gridCol w:w="425"/>
        <w:gridCol w:w="425"/>
        <w:gridCol w:w="1559"/>
      </w:tblGrid>
      <w:tr>
        <w:tblPrEx>
          <w:tblCellMar>
            <w:top w:w="0" w:type="dxa"/>
            <w:left w:w="108" w:type="dxa"/>
            <w:bottom w:w="0" w:type="dxa"/>
            <w:right w:w="108" w:type="dxa"/>
          </w:tblCellMar>
        </w:tblPrEx>
        <w:trPr>
          <w:trHeight w:val="555"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31" w:type="dxa"/>
            <w:gridSpan w:val="1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老旧小区改造二期工程</w:t>
            </w:r>
          </w:p>
        </w:tc>
      </w:tr>
      <w:tr>
        <w:tblPrEx>
          <w:tblCellMar>
            <w:top w:w="0" w:type="dxa"/>
            <w:left w:w="108" w:type="dxa"/>
            <w:bottom w:w="0" w:type="dxa"/>
            <w:right w:w="108" w:type="dxa"/>
          </w:tblCellMar>
        </w:tblPrEx>
        <w:trPr>
          <w:trHeight w:val="600" w:hRule="atLeast"/>
        </w:trPr>
        <w:tc>
          <w:tcPr>
            <w:tcW w:w="119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45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16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4110"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1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32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16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113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98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32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6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8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3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1124.81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572.95</w:t>
            </w:r>
          </w:p>
        </w:tc>
        <w:tc>
          <w:tcPr>
            <w:tcW w:w="116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572.95 </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3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1124.81</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572.95</w:t>
            </w:r>
          </w:p>
        </w:tc>
        <w:tc>
          <w:tcPr>
            <w:tcW w:w="116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572.95 </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3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6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9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32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6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9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45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5278"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050"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453"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通过项目的开展按质按量的完成工程量，实现基础设施完好、受益群众满意的目标。</w:t>
            </w:r>
          </w:p>
        </w:tc>
        <w:tc>
          <w:tcPr>
            <w:tcW w:w="5278"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通过项目的开展按质按量的完成工程量，实现基础设施完好、受益群众满意的目标。</w:t>
            </w:r>
          </w:p>
        </w:tc>
      </w:tr>
      <w:tr>
        <w:tblPrEx>
          <w:tblCellMar>
            <w:top w:w="0" w:type="dxa"/>
            <w:left w:w="108" w:type="dxa"/>
            <w:bottom w:w="0" w:type="dxa"/>
            <w:right w:w="108" w:type="dxa"/>
          </w:tblCellMar>
        </w:tblPrEx>
        <w:trPr>
          <w:trHeight w:val="345" w:hRule="atLeast"/>
        </w:trPr>
        <w:tc>
          <w:tcPr>
            <w:tcW w:w="119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绩     效     指     标</w:t>
            </w:r>
          </w:p>
        </w:tc>
        <w:tc>
          <w:tcPr>
            <w:tcW w:w="50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97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198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102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92"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85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0"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6"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97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1980"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改造小区数量</w:t>
            </w:r>
          </w:p>
        </w:tc>
        <w:tc>
          <w:tcPr>
            <w:tcW w:w="102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42</w:t>
            </w:r>
            <w:r>
              <w:rPr>
                <w:rFonts w:hint="eastAsia" w:ascii="宋体" w:hAnsi="宋体"/>
                <w:color w:val="000000"/>
                <w:kern w:val="0"/>
                <w:sz w:val="24"/>
              </w:rPr>
              <w:t>个</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42</w:t>
            </w:r>
            <w:r>
              <w:rPr>
                <w:rFonts w:hint="eastAsia" w:ascii="宋体" w:hAnsi="宋体"/>
                <w:color w:val="000000"/>
                <w:kern w:val="0"/>
                <w:sz w:val="24"/>
              </w:rPr>
              <w:t>个</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1980"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验收合格率</w:t>
            </w:r>
          </w:p>
        </w:tc>
        <w:tc>
          <w:tcPr>
            <w:tcW w:w="102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1980"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完成时间</w:t>
            </w:r>
          </w:p>
        </w:tc>
        <w:tc>
          <w:tcPr>
            <w:tcW w:w="102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r>
              <w:rPr>
                <w:rFonts w:hint="eastAsia" w:ascii="宋体" w:hAnsi="宋体"/>
                <w:color w:val="000000"/>
                <w:kern w:val="0"/>
                <w:sz w:val="24"/>
              </w:rPr>
              <w:t>月份</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1980"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102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572.95</w:t>
            </w:r>
            <w:r>
              <w:rPr>
                <w:rFonts w:hint="eastAsia" w:ascii="宋体" w:hAnsi="宋体"/>
                <w:color w:val="000000"/>
                <w:kern w:val="0"/>
                <w:sz w:val="24"/>
              </w:rPr>
              <w:t>万元</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572.95</w:t>
            </w:r>
            <w:r>
              <w:rPr>
                <w:rFonts w:hint="eastAsia" w:ascii="宋体" w:hAnsi="宋体"/>
                <w:color w:val="000000"/>
                <w:kern w:val="0"/>
                <w:sz w:val="24"/>
              </w:rPr>
              <w:t>万元</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97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1980"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2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1980"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实际完成改造率</w:t>
            </w:r>
          </w:p>
        </w:tc>
        <w:tc>
          <w:tcPr>
            <w:tcW w:w="102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1980"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2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1980"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2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1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0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970"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1980"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小区居民满意度</w:t>
            </w:r>
          </w:p>
        </w:tc>
        <w:tc>
          <w:tcPr>
            <w:tcW w:w="102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9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663"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85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098"/>
        <w:gridCol w:w="264"/>
        <w:gridCol w:w="375"/>
        <w:gridCol w:w="1029"/>
        <w:gridCol w:w="89"/>
        <w:gridCol w:w="992"/>
        <w:gridCol w:w="1134"/>
        <w:gridCol w:w="973"/>
        <w:gridCol w:w="284"/>
        <w:gridCol w:w="709"/>
        <w:gridCol w:w="141"/>
        <w:gridCol w:w="567"/>
        <w:gridCol w:w="567"/>
        <w:gridCol w:w="142"/>
        <w:gridCol w:w="1559"/>
      </w:tblGrid>
      <w:tr>
        <w:tblPrEx>
          <w:tblCellMar>
            <w:top w:w="0" w:type="dxa"/>
            <w:left w:w="108" w:type="dxa"/>
            <w:bottom w:w="0" w:type="dxa"/>
            <w:right w:w="108" w:type="dxa"/>
          </w:tblCellMar>
        </w:tblPrEx>
        <w:trPr>
          <w:trHeight w:val="555" w:hRule="atLeast"/>
        </w:trPr>
        <w:tc>
          <w:tcPr>
            <w:tcW w:w="9923" w:type="dxa"/>
            <w:gridSpan w:val="15"/>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44"/>
                <w:szCs w:val="44"/>
              </w:rPr>
            </w:pPr>
            <w:r>
              <w:rPr>
                <w:rFonts w:hint="eastAsia" w:ascii="宋体" w:hAnsi="宋体" w:cs="宋体"/>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5"/>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3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561" w:type="dxa"/>
            <w:gridSpan w:val="1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智慧社区维护费</w:t>
            </w:r>
          </w:p>
        </w:tc>
      </w:tr>
      <w:tr>
        <w:tblPrEx>
          <w:tblCellMar>
            <w:top w:w="0" w:type="dxa"/>
            <w:left w:w="108" w:type="dxa"/>
            <w:bottom w:w="0" w:type="dxa"/>
            <w:right w:w="108" w:type="dxa"/>
          </w:tblCellMar>
        </w:tblPrEx>
        <w:trPr>
          <w:trHeight w:val="600" w:hRule="atLeast"/>
        </w:trPr>
        <w:tc>
          <w:tcPr>
            <w:tcW w:w="136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61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5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68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36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493"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1134"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57"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50"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113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70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3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3"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134"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57"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3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49.5</w:t>
            </w:r>
          </w:p>
        </w:tc>
        <w:tc>
          <w:tcPr>
            <w:tcW w:w="125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44.55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90.0%</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w:t>
            </w:r>
          </w:p>
        </w:tc>
      </w:tr>
      <w:tr>
        <w:tblPrEx>
          <w:tblCellMar>
            <w:top w:w="0" w:type="dxa"/>
            <w:left w:w="108" w:type="dxa"/>
            <w:bottom w:w="0" w:type="dxa"/>
            <w:right w:w="108" w:type="dxa"/>
          </w:tblCellMar>
        </w:tblPrEx>
        <w:trPr>
          <w:trHeight w:val="600" w:hRule="atLeast"/>
        </w:trPr>
        <w:tc>
          <w:tcPr>
            <w:tcW w:w="13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50</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49.5</w:t>
            </w:r>
          </w:p>
        </w:tc>
        <w:tc>
          <w:tcPr>
            <w:tcW w:w="125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44.55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90.0%</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3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5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3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99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3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57"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0"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09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883"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4942"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883"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进一步提升社区信息化建设水平,排除系统故障，降低非正常停机率，减少档案检索时间和响应时间，保证系统正常运行。</w:t>
            </w:r>
          </w:p>
        </w:tc>
        <w:tc>
          <w:tcPr>
            <w:tcW w:w="4942"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进一步提升社区信息化建设水平,排除系统故障，降低非正常停机率，减少档案检索时间和响应时间，保证系统正常运行。</w:t>
            </w:r>
          </w:p>
        </w:tc>
      </w:tr>
      <w:tr>
        <w:tblPrEx>
          <w:tblCellMar>
            <w:top w:w="0" w:type="dxa"/>
            <w:left w:w="108" w:type="dxa"/>
            <w:bottom w:w="0" w:type="dxa"/>
            <w:right w:w="108" w:type="dxa"/>
          </w:tblCellMar>
        </w:tblPrEx>
        <w:trPr>
          <w:trHeight w:val="345" w:hRule="atLeast"/>
        </w:trPr>
        <w:tc>
          <w:tcPr>
            <w:tcW w:w="109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c>
          <w:tcPr>
            <w:tcW w:w="639"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2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215"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7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9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9"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21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73"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9"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215"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终端和电子屏数量</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178</w:t>
            </w:r>
            <w:r>
              <w:rPr>
                <w:rFonts w:hint="eastAsia" w:ascii="宋体" w:hAnsi="宋体"/>
                <w:color w:val="000000"/>
                <w:kern w:val="0"/>
                <w:sz w:val="24"/>
              </w:rPr>
              <w:t>台</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178</w:t>
            </w:r>
            <w:r>
              <w:rPr>
                <w:rFonts w:hint="eastAsia" w:ascii="宋体" w:hAnsi="宋体"/>
                <w:color w:val="000000"/>
                <w:kern w:val="0"/>
                <w:sz w:val="24"/>
              </w:rPr>
              <w:t>台</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215"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正常使用率</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215"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实际支出时间</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3</w:t>
            </w:r>
            <w:r>
              <w:rPr>
                <w:rFonts w:hint="eastAsia" w:ascii="宋体" w:hAnsi="宋体"/>
                <w:color w:val="000000"/>
                <w:kern w:val="0"/>
                <w:sz w:val="24"/>
              </w:rPr>
              <w:t>月份</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215"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49.5</w:t>
            </w:r>
            <w:r>
              <w:rPr>
                <w:rFonts w:hint="eastAsia" w:ascii="宋体" w:hAnsi="宋体"/>
                <w:color w:val="000000"/>
                <w:kern w:val="0"/>
                <w:sz w:val="24"/>
              </w:rPr>
              <w:t>万元</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44.55</w:t>
            </w:r>
            <w:r>
              <w:rPr>
                <w:rFonts w:hint="eastAsia" w:ascii="宋体" w:hAnsi="宋体"/>
                <w:color w:val="000000"/>
                <w:kern w:val="0"/>
                <w:sz w:val="24"/>
              </w:rPr>
              <w:t>万元</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w:t>
            </w:r>
          </w:p>
        </w:tc>
        <w:tc>
          <w:tcPr>
            <w:tcW w:w="1559"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剩余4.95万元为质保金</w:t>
            </w:r>
          </w:p>
        </w:tc>
      </w:tr>
      <w:tr>
        <w:tblPrEx>
          <w:tblCellMar>
            <w:top w:w="0" w:type="dxa"/>
            <w:left w:w="108" w:type="dxa"/>
            <w:bottom w:w="0" w:type="dxa"/>
            <w:right w:w="108" w:type="dxa"/>
          </w:tblCellMar>
        </w:tblPrEx>
        <w:trPr>
          <w:trHeight w:val="600"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215"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215"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正常工作比率</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215"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215"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09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3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2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215"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73"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9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947"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99</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218"/>
        <w:gridCol w:w="512"/>
        <w:gridCol w:w="1006"/>
        <w:gridCol w:w="962"/>
        <w:gridCol w:w="992"/>
        <w:gridCol w:w="130"/>
        <w:gridCol w:w="1012"/>
        <w:gridCol w:w="122"/>
        <w:gridCol w:w="851"/>
        <w:gridCol w:w="709"/>
        <w:gridCol w:w="425"/>
        <w:gridCol w:w="283"/>
        <w:gridCol w:w="1701"/>
      </w:tblGrid>
      <w:tr>
        <w:tblPrEx>
          <w:tblCellMar>
            <w:top w:w="0" w:type="dxa"/>
            <w:left w:w="108" w:type="dxa"/>
            <w:bottom w:w="0" w:type="dxa"/>
            <w:right w:w="108" w:type="dxa"/>
          </w:tblCellMar>
        </w:tblPrEx>
        <w:trPr>
          <w:trHeight w:val="555" w:hRule="atLeast"/>
        </w:trPr>
        <w:tc>
          <w:tcPr>
            <w:tcW w:w="9923" w:type="dxa"/>
            <w:gridSpan w:val="13"/>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3"/>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05" w:type="dxa"/>
            <w:gridSpan w:val="1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网格员补贴经费</w:t>
            </w:r>
          </w:p>
        </w:tc>
      </w:tr>
      <w:tr>
        <w:tblPrEx>
          <w:tblCellMar>
            <w:top w:w="0" w:type="dxa"/>
            <w:left w:w="108" w:type="dxa"/>
            <w:bottom w:w="0" w:type="dxa"/>
            <w:right w:w="108" w:type="dxa"/>
          </w:tblCellMar>
        </w:tblPrEx>
        <w:trPr>
          <w:trHeight w:val="600" w:hRule="atLeast"/>
        </w:trPr>
        <w:tc>
          <w:tcPr>
            <w:tcW w:w="121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47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26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969"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2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51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6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99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264"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85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113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984"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6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264"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85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98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96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84.00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47.10 </w:t>
            </w:r>
          </w:p>
        </w:tc>
        <w:tc>
          <w:tcPr>
            <w:tcW w:w="126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47.10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96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84.00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47.10 </w:t>
            </w:r>
          </w:p>
        </w:tc>
        <w:tc>
          <w:tcPr>
            <w:tcW w:w="126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47.10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96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6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5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96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26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85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984"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2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47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5233"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472"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通过项目的开展，按时按量发放网格员补贴，实现提高工作完成率、为居民服务的目标。</w:t>
            </w:r>
          </w:p>
        </w:tc>
        <w:tc>
          <w:tcPr>
            <w:tcW w:w="5233"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通过项目的开展，按时按量发放网格员补贴，实现提高工作完成率、为居民服务的目标。</w:t>
            </w:r>
          </w:p>
        </w:tc>
      </w:tr>
      <w:tr>
        <w:tblPrEx>
          <w:tblCellMar>
            <w:top w:w="0" w:type="dxa"/>
            <w:left w:w="108" w:type="dxa"/>
            <w:bottom w:w="0" w:type="dxa"/>
            <w:right w:w="108" w:type="dxa"/>
          </w:tblCellMar>
        </w:tblPrEx>
        <w:trPr>
          <w:trHeight w:val="345" w:hRule="atLeast"/>
        </w:trPr>
        <w:tc>
          <w:tcPr>
            <w:tcW w:w="1218"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c>
          <w:tcPr>
            <w:tcW w:w="51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1006"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084"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101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7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084"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12"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7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084"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人数</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72</w:t>
            </w:r>
            <w:r>
              <w:rPr>
                <w:rFonts w:hint="eastAsia" w:ascii="宋体" w:hAnsi="宋体"/>
                <w:color w:val="000000"/>
                <w:kern w:val="0"/>
                <w:sz w:val="24"/>
              </w:rPr>
              <w:t>人</w:t>
            </w:r>
          </w:p>
        </w:tc>
        <w:tc>
          <w:tcPr>
            <w:tcW w:w="97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72</w:t>
            </w:r>
            <w:r>
              <w:rPr>
                <w:rFonts w:hint="eastAsia" w:ascii="宋体" w:hAnsi="宋体"/>
                <w:color w:val="000000"/>
                <w:kern w:val="0"/>
                <w:sz w:val="24"/>
              </w:rPr>
              <w:t>人</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084"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发放补贴合格率</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97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100%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084" w:type="dxa"/>
            <w:gridSpan w:val="3"/>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实际支出时间</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7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8</w:t>
            </w:r>
            <w:r>
              <w:rPr>
                <w:rFonts w:hint="eastAsia" w:ascii="宋体" w:hAnsi="宋体"/>
                <w:color w:val="000000"/>
                <w:kern w:val="0"/>
                <w:sz w:val="24"/>
              </w:rPr>
              <w:t>月份</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084"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47.1</w:t>
            </w:r>
            <w:r>
              <w:rPr>
                <w:rFonts w:hint="eastAsia" w:ascii="宋体" w:hAnsi="宋体"/>
                <w:color w:val="000000"/>
                <w:kern w:val="0"/>
                <w:sz w:val="24"/>
              </w:rPr>
              <w:t>万元</w:t>
            </w:r>
          </w:p>
        </w:tc>
        <w:tc>
          <w:tcPr>
            <w:tcW w:w="97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47.1</w:t>
            </w:r>
            <w:r>
              <w:rPr>
                <w:rFonts w:hint="eastAsia" w:ascii="宋体" w:hAnsi="宋体"/>
                <w:color w:val="000000"/>
                <w:kern w:val="0"/>
                <w:sz w:val="24"/>
              </w:rPr>
              <w:t>万元</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084"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7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084" w:type="dxa"/>
            <w:gridSpan w:val="3"/>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工作完成率</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97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084" w:type="dxa"/>
            <w:gridSpan w:val="3"/>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7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084"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7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218"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51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1006"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084" w:type="dxa"/>
            <w:gridSpan w:val="3"/>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1012"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7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805"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9923" w:type="dxa"/>
        <w:tblInd w:w="-176" w:type="dxa"/>
        <w:tblLayout w:type="autofit"/>
        <w:tblCellMar>
          <w:top w:w="0" w:type="dxa"/>
          <w:left w:w="108" w:type="dxa"/>
          <w:bottom w:w="0" w:type="dxa"/>
          <w:right w:w="108" w:type="dxa"/>
        </w:tblCellMar>
      </w:tblPr>
      <w:tblGrid>
        <w:gridCol w:w="1049"/>
        <w:gridCol w:w="136"/>
        <w:gridCol w:w="482"/>
        <w:gridCol w:w="981"/>
        <w:gridCol w:w="1110"/>
        <w:gridCol w:w="1062"/>
        <w:gridCol w:w="996"/>
        <w:gridCol w:w="422"/>
        <w:gridCol w:w="574"/>
        <w:gridCol w:w="418"/>
        <w:gridCol w:w="284"/>
        <w:gridCol w:w="708"/>
        <w:gridCol w:w="142"/>
        <w:gridCol w:w="1559"/>
      </w:tblGrid>
      <w:tr>
        <w:tblPrEx>
          <w:tblCellMar>
            <w:top w:w="0" w:type="dxa"/>
            <w:left w:w="108" w:type="dxa"/>
            <w:bottom w:w="0" w:type="dxa"/>
            <w:right w:w="108" w:type="dxa"/>
          </w:tblCellMar>
        </w:tblPrEx>
        <w:trPr>
          <w:trHeight w:val="555"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color w:val="000000"/>
                <w:kern w:val="0"/>
                <w:sz w:val="44"/>
                <w:szCs w:val="44"/>
              </w:rPr>
            </w:pPr>
            <w:r>
              <w:rPr>
                <w:color w:val="000000"/>
                <w:kern w:val="0"/>
                <w:sz w:val="44"/>
                <w:szCs w:val="44"/>
              </w:rPr>
              <w:t>项目支出绩效自评表</w:t>
            </w:r>
          </w:p>
        </w:tc>
      </w:tr>
      <w:tr>
        <w:tblPrEx>
          <w:tblCellMar>
            <w:top w:w="0" w:type="dxa"/>
            <w:left w:w="108" w:type="dxa"/>
            <w:bottom w:w="0" w:type="dxa"/>
            <w:right w:w="108" w:type="dxa"/>
          </w:tblCellMar>
        </w:tblPrEx>
        <w:trPr>
          <w:trHeight w:val="600" w:hRule="atLeast"/>
        </w:trPr>
        <w:tc>
          <w:tcPr>
            <w:tcW w:w="9923" w:type="dxa"/>
            <w:gridSpan w:val="14"/>
            <w:tcBorders>
              <w:top w:val="nil"/>
              <w:left w:val="nil"/>
              <w:bottom w:val="nil"/>
              <w:right w:val="nil"/>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w:t>
            </w:r>
            <w:r>
              <w:rPr>
                <w:color w:val="000000"/>
                <w:kern w:val="0"/>
                <w:sz w:val="24"/>
              </w:rPr>
              <w:t xml:space="preserve">    2019</w:t>
            </w:r>
            <w:r>
              <w:rPr>
                <w:rFonts w:hint="eastAsia" w:ascii="宋体" w:hAnsi="宋体" w:cs="宋体"/>
                <w:color w:val="000000"/>
                <w:kern w:val="0"/>
                <w:sz w:val="24"/>
              </w:rPr>
              <w:t>年度 ）</w:t>
            </w:r>
          </w:p>
        </w:tc>
      </w:tr>
      <w:tr>
        <w:tblPrEx>
          <w:tblCellMar>
            <w:top w:w="0" w:type="dxa"/>
            <w:left w:w="108" w:type="dxa"/>
            <w:bottom w:w="0" w:type="dxa"/>
            <w:right w:w="108" w:type="dxa"/>
          </w:tblCellMar>
        </w:tblPrEx>
        <w:trPr>
          <w:trHeight w:val="600" w:hRule="atLeast"/>
        </w:trPr>
        <w:tc>
          <w:tcPr>
            <w:tcW w:w="11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项目名称</w:t>
            </w:r>
          </w:p>
        </w:tc>
        <w:tc>
          <w:tcPr>
            <w:tcW w:w="8738" w:type="dxa"/>
            <w:gridSpan w:val="1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城区内老旧小区垃圾清理清运费</w:t>
            </w:r>
          </w:p>
        </w:tc>
      </w:tr>
      <w:tr>
        <w:tblPrEx>
          <w:tblCellMar>
            <w:top w:w="0" w:type="dxa"/>
            <w:left w:w="108" w:type="dxa"/>
            <w:bottom w:w="0" w:type="dxa"/>
            <w:right w:w="108" w:type="dxa"/>
          </w:tblCellMar>
        </w:tblPrEx>
        <w:trPr>
          <w:trHeight w:val="600" w:hRule="atLeast"/>
        </w:trPr>
        <w:tc>
          <w:tcPr>
            <w:tcW w:w="11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主管部门</w:t>
            </w:r>
          </w:p>
        </w:tc>
        <w:tc>
          <w:tcPr>
            <w:tcW w:w="3635" w:type="dxa"/>
            <w:gridSpan w:val="4"/>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c>
          <w:tcPr>
            <w:tcW w:w="14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实施单位</w:t>
            </w:r>
          </w:p>
        </w:tc>
        <w:tc>
          <w:tcPr>
            <w:tcW w:w="3685"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大厂回族自治县北辰街道办事处</w:t>
            </w:r>
          </w:p>
        </w:tc>
      </w:tr>
      <w:tr>
        <w:tblPrEx>
          <w:tblCellMar>
            <w:top w:w="0" w:type="dxa"/>
            <w:left w:w="108" w:type="dxa"/>
            <w:bottom w:w="0" w:type="dxa"/>
            <w:right w:w="108" w:type="dxa"/>
          </w:tblCellMar>
        </w:tblPrEx>
        <w:trPr>
          <w:trHeight w:val="312" w:hRule="atLeast"/>
        </w:trPr>
        <w:tc>
          <w:tcPr>
            <w:tcW w:w="1185"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项目资金</w:t>
            </w:r>
            <w:r>
              <w:rPr>
                <w:color w:val="000000"/>
                <w:kern w:val="0"/>
                <w:sz w:val="24"/>
              </w:rPr>
              <w:t xml:space="preserve">           </w:t>
            </w:r>
            <w:r>
              <w:rPr>
                <w:rFonts w:hint="eastAsia" w:ascii="宋体" w:hAnsi="宋体" w:cs="宋体"/>
                <w:color w:val="000000"/>
                <w:kern w:val="0"/>
                <w:sz w:val="24"/>
              </w:rPr>
              <w:t>（万元）</w:t>
            </w:r>
          </w:p>
        </w:tc>
        <w:tc>
          <w:tcPr>
            <w:tcW w:w="1463"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11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年初预算数</w:t>
            </w:r>
          </w:p>
        </w:tc>
        <w:tc>
          <w:tcPr>
            <w:tcW w:w="1062"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预算数</w:t>
            </w:r>
          </w:p>
        </w:tc>
        <w:tc>
          <w:tcPr>
            <w:tcW w:w="1418"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全年       执行数</w:t>
            </w:r>
          </w:p>
        </w:tc>
        <w:tc>
          <w:tcPr>
            <w:tcW w:w="99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1134"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执行率</w:t>
            </w:r>
          </w:p>
        </w:tc>
        <w:tc>
          <w:tcPr>
            <w:tcW w:w="155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r>
      <w:tr>
        <w:tblPrEx>
          <w:tblCellMar>
            <w:top w:w="0" w:type="dxa"/>
            <w:left w:w="108" w:type="dxa"/>
            <w:bottom w:w="0" w:type="dxa"/>
            <w:right w:w="108" w:type="dxa"/>
          </w:tblCellMar>
        </w:tblPrEx>
        <w:trPr>
          <w:trHeight w:val="312" w:hRule="atLeast"/>
        </w:trPr>
        <w:tc>
          <w:tcPr>
            <w:tcW w:w="11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6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10"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062"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18"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134"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1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6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rPr>
                <w:color w:val="000000"/>
                <w:kern w:val="0"/>
                <w:sz w:val="24"/>
              </w:rPr>
            </w:pPr>
            <w:r>
              <w:rPr>
                <w:color w:val="000000"/>
                <w:kern w:val="0"/>
                <w:sz w:val="24"/>
              </w:rPr>
              <w:t>年度资金总额</w:t>
            </w:r>
          </w:p>
        </w:tc>
        <w:tc>
          <w:tcPr>
            <w:tcW w:w="111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11.38 </w:t>
            </w:r>
          </w:p>
        </w:tc>
        <w:tc>
          <w:tcPr>
            <w:tcW w:w="106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11.38 </w:t>
            </w:r>
          </w:p>
        </w:tc>
        <w:tc>
          <w:tcPr>
            <w:tcW w:w="14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11.38 </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13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r>
      <w:tr>
        <w:tblPrEx>
          <w:tblCellMar>
            <w:top w:w="0" w:type="dxa"/>
            <w:left w:w="108" w:type="dxa"/>
            <w:bottom w:w="0" w:type="dxa"/>
            <w:right w:w="108" w:type="dxa"/>
          </w:tblCellMar>
        </w:tblPrEx>
        <w:trPr>
          <w:trHeight w:val="600" w:hRule="atLeast"/>
        </w:trPr>
        <w:tc>
          <w:tcPr>
            <w:tcW w:w="11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6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其中：当年财政拨款</w:t>
            </w:r>
          </w:p>
        </w:tc>
        <w:tc>
          <w:tcPr>
            <w:tcW w:w="111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11.38 </w:t>
            </w:r>
          </w:p>
        </w:tc>
        <w:tc>
          <w:tcPr>
            <w:tcW w:w="106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11.38 </w:t>
            </w:r>
          </w:p>
        </w:tc>
        <w:tc>
          <w:tcPr>
            <w:tcW w:w="14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11.38 </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100.0%</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6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color w:val="000000"/>
                <w:kern w:val="0"/>
                <w:sz w:val="24"/>
              </w:rPr>
            </w:pPr>
            <w:r>
              <w:rPr>
                <w:color w:val="000000"/>
                <w:kern w:val="0"/>
                <w:sz w:val="24"/>
              </w:rPr>
              <w:t xml:space="preserve">      上年结转资金</w:t>
            </w:r>
          </w:p>
        </w:tc>
        <w:tc>
          <w:tcPr>
            <w:tcW w:w="111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6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185"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1463"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xml:space="preserve">  其他资金</w:t>
            </w:r>
          </w:p>
        </w:tc>
        <w:tc>
          <w:tcPr>
            <w:tcW w:w="1110"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06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41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c>
          <w:tcPr>
            <w:tcW w:w="113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559"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w:t>
            </w:r>
          </w:p>
        </w:tc>
      </w:tr>
      <w:tr>
        <w:tblPrEx>
          <w:tblCellMar>
            <w:top w:w="0" w:type="dxa"/>
            <w:left w:w="108" w:type="dxa"/>
            <w:bottom w:w="0" w:type="dxa"/>
            <w:right w:w="108" w:type="dxa"/>
          </w:tblCellMar>
        </w:tblPrEx>
        <w:trPr>
          <w:trHeight w:val="600" w:hRule="atLeast"/>
        </w:trPr>
        <w:tc>
          <w:tcPr>
            <w:tcW w:w="104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年度总体目标</w:t>
            </w:r>
          </w:p>
        </w:tc>
        <w:tc>
          <w:tcPr>
            <w:tcW w:w="3771"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预期目标</w:t>
            </w:r>
          </w:p>
        </w:tc>
        <w:tc>
          <w:tcPr>
            <w:tcW w:w="5103"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实际完成情况</w:t>
            </w:r>
          </w:p>
        </w:tc>
      </w:tr>
      <w:tr>
        <w:tblPrEx>
          <w:tblCellMar>
            <w:top w:w="0" w:type="dxa"/>
            <w:left w:w="108" w:type="dxa"/>
            <w:bottom w:w="0" w:type="dxa"/>
            <w:right w:w="108" w:type="dxa"/>
          </w:tblCellMar>
        </w:tblPrEx>
        <w:trPr>
          <w:trHeight w:val="1470"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3771" w:type="dxa"/>
            <w:gridSpan w:val="5"/>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通过清理小区内垃圾，提高居民舒适度，进一步打造环境优美小区。</w:t>
            </w:r>
          </w:p>
        </w:tc>
        <w:tc>
          <w:tcPr>
            <w:tcW w:w="5103" w:type="dxa"/>
            <w:gridSpan w:val="8"/>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通过清理小区内垃圾，提高居民舒适度，进一步打造环境优美小区。</w:t>
            </w:r>
          </w:p>
        </w:tc>
      </w:tr>
      <w:tr>
        <w:tblPrEx>
          <w:tblCellMar>
            <w:top w:w="0" w:type="dxa"/>
            <w:left w:w="108" w:type="dxa"/>
            <w:bottom w:w="0" w:type="dxa"/>
            <w:right w:w="108" w:type="dxa"/>
          </w:tblCellMar>
        </w:tblPrEx>
        <w:trPr>
          <w:trHeight w:val="345" w:hRule="atLeast"/>
        </w:trPr>
        <w:tc>
          <w:tcPr>
            <w:tcW w:w="1049"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　</w:t>
            </w:r>
          </w:p>
        </w:tc>
        <w:tc>
          <w:tcPr>
            <w:tcW w:w="618"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一级指标</w:t>
            </w:r>
          </w:p>
        </w:tc>
        <w:tc>
          <w:tcPr>
            <w:tcW w:w="981" w:type="dxa"/>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二级指标</w:t>
            </w:r>
          </w:p>
        </w:tc>
        <w:tc>
          <w:tcPr>
            <w:tcW w:w="217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三级指标</w:t>
            </w:r>
          </w:p>
        </w:tc>
        <w:tc>
          <w:tcPr>
            <w:tcW w:w="99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年度指标值</w:t>
            </w:r>
          </w:p>
        </w:tc>
        <w:tc>
          <w:tcPr>
            <w:tcW w:w="996"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实际完成值</w:t>
            </w:r>
          </w:p>
        </w:tc>
        <w:tc>
          <w:tcPr>
            <w:tcW w:w="702"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分值</w:t>
            </w:r>
          </w:p>
        </w:tc>
        <w:tc>
          <w:tcPr>
            <w:tcW w:w="70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得分</w:t>
            </w:r>
          </w:p>
        </w:tc>
        <w:tc>
          <w:tcPr>
            <w:tcW w:w="1701" w:type="dxa"/>
            <w:gridSpan w:val="2"/>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偏差原因分析及改进措施</w:t>
            </w:r>
          </w:p>
        </w:tc>
      </w:tr>
      <w:tr>
        <w:tblPrEx>
          <w:tblCellMar>
            <w:top w:w="0" w:type="dxa"/>
            <w:left w:w="108" w:type="dxa"/>
            <w:bottom w:w="0" w:type="dxa"/>
            <w:right w:w="108" w:type="dxa"/>
          </w:tblCellMar>
        </w:tblPrEx>
        <w:trPr>
          <w:trHeight w:val="345"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1"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21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96"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996"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70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708"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17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r>
      <w:tr>
        <w:tblPrEx>
          <w:tblCellMar>
            <w:top w:w="0" w:type="dxa"/>
            <w:left w:w="108" w:type="dxa"/>
            <w:bottom w:w="0" w:type="dxa"/>
            <w:right w:w="108" w:type="dxa"/>
          </w:tblCellMar>
        </w:tblPrEx>
        <w:trPr>
          <w:trHeight w:val="600"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产出指标</w:t>
            </w:r>
          </w:p>
        </w:tc>
        <w:tc>
          <w:tcPr>
            <w:tcW w:w="98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数量指标</w:t>
            </w:r>
          </w:p>
        </w:tc>
        <w:tc>
          <w:tcPr>
            <w:tcW w:w="2172"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小区数</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17</w:t>
            </w:r>
            <w:r>
              <w:rPr>
                <w:rFonts w:hint="eastAsia" w:ascii="宋体" w:hAnsi="宋体"/>
                <w:color w:val="000000"/>
                <w:kern w:val="0"/>
                <w:sz w:val="24"/>
              </w:rPr>
              <w:t>户</w:t>
            </w:r>
          </w:p>
        </w:tc>
        <w:tc>
          <w:tcPr>
            <w:tcW w:w="99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17</w:t>
            </w:r>
            <w:r>
              <w:rPr>
                <w:rFonts w:hint="eastAsia" w:ascii="宋体" w:hAnsi="宋体"/>
                <w:color w:val="000000"/>
                <w:kern w:val="0"/>
                <w:sz w:val="24"/>
              </w:rPr>
              <w:t>户</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质量指标</w:t>
            </w:r>
          </w:p>
        </w:tc>
        <w:tc>
          <w:tcPr>
            <w:tcW w:w="2172"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验收合格率</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99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时效指标</w:t>
            </w:r>
          </w:p>
        </w:tc>
        <w:tc>
          <w:tcPr>
            <w:tcW w:w="2172" w:type="dxa"/>
            <w:gridSpan w:val="2"/>
            <w:tcBorders>
              <w:top w:val="nil"/>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实际支出时间</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12</w:t>
            </w:r>
            <w:r>
              <w:rPr>
                <w:rFonts w:hint="eastAsia" w:ascii="宋体" w:hAnsi="宋体"/>
                <w:color w:val="000000"/>
                <w:kern w:val="0"/>
                <w:sz w:val="24"/>
              </w:rPr>
              <w:t>月份</w:t>
            </w:r>
          </w:p>
        </w:tc>
        <w:tc>
          <w:tcPr>
            <w:tcW w:w="99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w:t>
            </w:r>
            <w:r>
              <w:rPr>
                <w:rFonts w:hint="eastAsia" w:ascii="宋体" w:hAnsi="宋体"/>
                <w:color w:val="000000"/>
                <w:kern w:val="0"/>
                <w:sz w:val="24"/>
              </w:rPr>
              <w:t>月份</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15</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15"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成本指标</w:t>
            </w:r>
          </w:p>
        </w:tc>
        <w:tc>
          <w:tcPr>
            <w:tcW w:w="2172"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总成本</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11.3774</w:t>
            </w:r>
            <w:r>
              <w:rPr>
                <w:rFonts w:hint="eastAsia" w:ascii="宋体" w:hAnsi="宋体"/>
                <w:color w:val="000000"/>
                <w:kern w:val="0"/>
                <w:sz w:val="24"/>
              </w:rPr>
              <w:t>万元</w:t>
            </w:r>
          </w:p>
        </w:tc>
        <w:tc>
          <w:tcPr>
            <w:tcW w:w="99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11.3774</w:t>
            </w:r>
            <w:r>
              <w:rPr>
                <w:rFonts w:hint="eastAsia" w:ascii="宋体" w:hAnsi="宋体"/>
                <w:color w:val="000000"/>
                <w:kern w:val="0"/>
                <w:sz w:val="24"/>
              </w:rPr>
              <w:t>万元</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left"/>
              <w:rPr>
                <w:rFonts w:ascii="宋体" w:hAnsi="宋体" w:cs="宋体"/>
                <w:color w:val="000000"/>
                <w:kern w:val="0"/>
                <w:sz w:val="24"/>
              </w:rPr>
            </w:pPr>
            <w:r>
              <w:rPr>
                <w:rFonts w:hint="eastAsia" w:ascii="宋体" w:hAnsi="宋体" w:cs="宋体"/>
                <w:color w:val="000000"/>
                <w:kern w:val="0"/>
                <w:sz w:val="24"/>
              </w:rPr>
              <w:t>　</w:t>
            </w:r>
          </w:p>
        </w:tc>
      </w:tr>
      <w:tr>
        <w:tblPrEx>
          <w:tblCellMar>
            <w:top w:w="0" w:type="dxa"/>
            <w:left w:w="108" w:type="dxa"/>
            <w:bottom w:w="0" w:type="dxa"/>
            <w:right w:w="108" w:type="dxa"/>
          </w:tblCellMar>
        </w:tblPrEx>
        <w:trPr>
          <w:trHeight w:val="600"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效益指标</w:t>
            </w:r>
          </w:p>
        </w:tc>
        <w:tc>
          <w:tcPr>
            <w:tcW w:w="98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经济效益指标</w:t>
            </w:r>
          </w:p>
        </w:tc>
        <w:tc>
          <w:tcPr>
            <w:tcW w:w="2172"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社会效益指标</w:t>
            </w:r>
          </w:p>
        </w:tc>
        <w:tc>
          <w:tcPr>
            <w:tcW w:w="2172" w:type="dxa"/>
            <w:gridSpan w:val="2"/>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实际清理垃圾小区的比率</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99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≥90%</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40</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生态效益指标</w:t>
            </w:r>
          </w:p>
        </w:tc>
        <w:tc>
          <w:tcPr>
            <w:tcW w:w="2172" w:type="dxa"/>
            <w:gridSpan w:val="2"/>
            <w:tcBorders>
              <w:top w:val="single" w:color="auto" w:sz="4" w:space="0"/>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color w:val="000000"/>
                <w:kern w:val="0"/>
                <w:sz w:val="24"/>
              </w:rPr>
            </w:pPr>
          </w:p>
        </w:tc>
        <w:tc>
          <w:tcPr>
            <w:tcW w:w="98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可持续影响指标</w:t>
            </w:r>
          </w:p>
        </w:tc>
        <w:tc>
          <w:tcPr>
            <w:tcW w:w="2172"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　</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99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942" w:hRule="atLeast"/>
        </w:trPr>
        <w:tc>
          <w:tcPr>
            <w:tcW w:w="1049" w:type="dxa"/>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宋体" w:hAnsi="宋体" w:cs="宋体"/>
                <w:color w:val="000000"/>
                <w:kern w:val="0"/>
                <w:sz w:val="24"/>
              </w:rPr>
            </w:pPr>
          </w:p>
        </w:tc>
        <w:tc>
          <w:tcPr>
            <w:tcW w:w="6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宋体" w:hAnsi="宋体" w:cs="宋体"/>
                <w:color w:val="000000"/>
                <w:kern w:val="0"/>
                <w:sz w:val="24"/>
              </w:rPr>
            </w:pPr>
            <w:r>
              <w:rPr>
                <w:rFonts w:hint="eastAsia" w:ascii="宋体" w:hAnsi="宋体" w:cs="宋体"/>
                <w:color w:val="000000"/>
                <w:kern w:val="0"/>
                <w:sz w:val="24"/>
              </w:rPr>
              <w:t>满意度指标</w:t>
            </w:r>
          </w:p>
        </w:tc>
        <w:tc>
          <w:tcPr>
            <w:tcW w:w="981"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服务对象满意度指标</w:t>
            </w:r>
          </w:p>
        </w:tc>
        <w:tc>
          <w:tcPr>
            <w:tcW w:w="2172" w:type="dxa"/>
            <w:gridSpan w:val="2"/>
            <w:tcBorders>
              <w:top w:val="nil"/>
              <w:left w:val="nil"/>
              <w:bottom w:val="single" w:color="auto" w:sz="4" w:space="0"/>
              <w:right w:val="single" w:color="000000" w:sz="4" w:space="0"/>
            </w:tcBorders>
            <w:shd w:val="clear" w:color="auto" w:fill="auto"/>
            <w:noWrap/>
            <w:vAlign w:val="center"/>
          </w:tcPr>
          <w:p>
            <w:pPr>
              <w:widowControl/>
              <w:spacing w:after="0" w:line="240" w:lineRule="auto"/>
              <w:jc w:val="center"/>
              <w:rPr>
                <w:rFonts w:ascii="仿宋_GB2312" w:hAnsi="宋体" w:eastAsia="仿宋_GB2312" w:cs="宋体"/>
                <w:kern w:val="0"/>
                <w:sz w:val="24"/>
              </w:rPr>
            </w:pPr>
            <w:r>
              <w:rPr>
                <w:rFonts w:hint="eastAsia" w:ascii="仿宋_GB2312" w:hAnsi="宋体" w:eastAsia="仿宋_GB2312" w:cs="宋体"/>
                <w:kern w:val="0"/>
                <w:sz w:val="24"/>
              </w:rPr>
              <w:t>综合满意度</w:t>
            </w:r>
          </w:p>
        </w:tc>
        <w:tc>
          <w:tcPr>
            <w:tcW w:w="996"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99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rFonts w:hint="eastAsia" w:ascii="宋体" w:hAnsi="宋体"/>
                <w:color w:val="000000"/>
                <w:kern w:val="0"/>
                <w:sz w:val="24"/>
              </w:rPr>
              <w:t>≥</w:t>
            </w:r>
            <w:r>
              <w:rPr>
                <w:color w:val="000000"/>
                <w:kern w:val="0"/>
                <w:sz w:val="24"/>
              </w:rPr>
              <w:t>90%</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r>
        <w:tblPrEx>
          <w:tblCellMar>
            <w:top w:w="0" w:type="dxa"/>
            <w:left w:w="108" w:type="dxa"/>
            <w:bottom w:w="0" w:type="dxa"/>
            <w:right w:w="108" w:type="dxa"/>
          </w:tblCellMar>
        </w:tblPrEx>
        <w:trPr>
          <w:trHeight w:val="600" w:hRule="atLeast"/>
        </w:trPr>
        <w:tc>
          <w:tcPr>
            <w:tcW w:w="6812" w:type="dxa"/>
            <w:gridSpan w:val="9"/>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总分</w:t>
            </w:r>
          </w:p>
        </w:tc>
        <w:tc>
          <w:tcPr>
            <w:tcW w:w="702"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708" w:type="dxa"/>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100</w:t>
            </w:r>
          </w:p>
        </w:tc>
        <w:tc>
          <w:tcPr>
            <w:tcW w:w="1701"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color w:val="000000"/>
                <w:kern w:val="0"/>
                <w:sz w:val="24"/>
              </w:rPr>
            </w:pPr>
            <w:r>
              <w:rPr>
                <w:color w:val="000000"/>
                <w:kern w:val="0"/>
                <w:sz w:val="24"/>
              </w:rPr>
              <w:t>　</w:t>
            </w:r>
          </w:p>
        </w:tc>
      </w:tr>
    </w:tbl>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sectPr>
          <w:pgSz w:w="11906" w:h="16838"/>
          <w:pgMar w:top="1701" w:right="1304" w:bottom="1701" w:left="1304" w:header="851" w:footer="992" w:gutter="0"/>
          <w:cols w:space="425" w:num="1"/>
          <w:docGrid w:type="lines" w:linePitch="312" w:charSpace="0"/>
        </w:sectPr>
      </w:pPr>
    </w:p>
    <w:p>
      <w:pPr>
        <w:widowControl/>
        <w:spacing w:after="0" w:line="240" w:lineRule="auto"/>
        <w:jc w:val="left"/>
        <w:rPr>
          <w:rFonts w:hAnsi="宋体" w:asciiTheme="minorEastAsia" w:eastAsiaTheme="minorEastAsia"/>
          <w:b/>
          <w:color w:val="000000" w:themeColor="text1"/>
          <w:sz w:val="32"/>
          <w:szCs w:val="32"/>
          <w14:textFill>
            <w14:solidFill>
              <w14:schemeClr w14:val="tx1"/>
            </w14:solidFill>
          </w14:textFill>
        </w:rPr>
      </w:pPr>
    </w:p>
    <w:tbl>
      <w:tblPr>
        <w:tblStyle w:val="12"/>
        <w:tblW w:w="0" w:type="auto"/>
        <w:tblInd w:w="-416" w:type="dxa"/>
        <w:tblLayout w:type="autofit"/>
        <w:tblCellMar>
          <w:top w:w="0" w:type="dxa"/>
          <w:left w:w="0" w:type="dxa"/>
          <w:bottom w:w="0" w:type="dxa"/>
          <w:right w:w="0" w:type="dxa"/>
        </w:tblCellMar>
      </w:tblPr>
      <w:tblGrid>
        <w:gridCol w:w="783"/>
        <w:gridCol w:w="1298"/>
        <w:gridCol w:w="1120"/>
        <w:gridCol w:w="1119"/>
        <w:gridCol w:w="1106"/>
        <w:gridCol w:w="1606"/>
        <w:gridCol w:w="1299"/>
        <w:gridCol w:w="980"/>
        <w:gridCol w:w="1388"/>
        <w:gridCol w:w="980"/>
        <w:gridCol w:w="1512"/>
      </w:tblGrid>
      <w:tr>
        <w:tblPrEx>
          <w:tblCellMar>
            <w:top w:w="0" w:type="dxa"/>
            <w:left w:w="0" w:type="dxa"/>
            <w:bottom w:w="0" w:type="dxa"/>
            <w:right w:w="0" w:type="dxa"/>
          </w:tblCellMar>
        </w:tblPrEx>
        <w:trPr>
          <w:trHeight w:val="873" w:hRule="atLeast"/>
        </w:trPr>
        <w:tc>
          <w:tcPr>
            <w:tcW w:w="0" w:type="auto"/>
            <w:gridSpan w:val="11"/>
            <w:tcBorders>
              <w:top w:val="nil"/>
              <w:left w:val="nil"/>
              <w:bottom w:val="nil"/>
              <w:right w:val="nil"/>
            </w:tcBorders>
            <w:shd w:val="clear" w:color="auto" w:fill="auto"/>
            <w:noWrap/>
            <w:tcMar>
              <w:top w:w="10" w:type="dxa"/>
              <w:left w:w="10" w:type="dxa"/>
              <w:right w:w="10" w:type="dxa"/>
            </w:tcMar>
            <w:vAlign w:val="center"/>
          </w:tcPr>
          <w:p>
            <w:pPr>
              <w:spacing w:line="584" w:lineRule="exact"/>
              <w:jc w:val="center"/>
              <w:rPr>
                <w:rStyle w:val="35"/>
                <w:rFonts w:eastAsia="微软雅黑"/>
                <w:sz w:val="44"/>
                <w:szCs w:val="44"/>
              </w:rPr>
            </w:pPr>
            <w:r>
              <w:rPr>
                <w:rFonts w:eastAsia="仿宋_GB2312"/>
                <w:b/>
                <w:bCs/>
                <w:sz w:val="32"/>
                <w:szCs w:val="32"/>
              </w:rPr>
              <w:br w:type="page"/>
            </w:r>
            <w:r>
              <w:rPr>
                <w:rStyle w:val="35"/>
                <w:rFonts w:eastAsia="微软雅黑"/>
                <w:sz w:val="44"/>
                <w:szCs w:val="44"/>
              </w:rPr>
              <w:t>部门（单位）整体绩效自评表</w:t>
            </w:r>
          </w:p>
          <w:p>
            <w:pPr>
              <w:spacing w:line="584" w:lineRule="exact"/>
              <w:jc w:val="center"/>
              <w:rPr>
                <w:rFonts w:eastAsia="等线"/>
                <w:color w:val="000000"/>
                <w:sz w:val="28"/>
                <w:szCs w:val="28"/>
              </w:rPr>
            </w:pPr>
            <w:r>
              <w:rPr>
                <w:rFonts w:eastAsia="仿宋_GB2312"/>
                <w:color w:val="000000"/>
                <w:sz w:val="28"/>
                <w:szCs w:val="28"/>
              </w:rPr>
              <w:t xml:space="preserve">（ </w:t>
            </w:r>
            <w:r>
              <w:rPr>
                <w:rFonts w:hint="eastAsia" w:eastAsia="仿宋_GB2312"/>
                <w:color w:val="000000"/>
                <w:sz w:val="28"/>
                <w:szCs w:val="28"/>
              </w:rPr>
              <w:t>2019</w:t>
            </w:r>
            <w:r>
              <w:rPr>
                <w:rFonts w:eastAsia="仿宋_GB2312"/>
                <w:color w:val="000000"/>
                <w:sz w:val="28"/>
                <w:szCs w:val="28"/>
              </w:rPr>
              <w:t>年度）</w:t>
            </w:r>
          </w:p>
        </w:tc>
      </w:tr>
      <w:tr>
        <w:tblPrEx>
          <w:tblCellMar>
            <w:top w:w="0" w:type="dxa"/>
            <w:left w:w="0" w:type="dxa"/>
            <w:bottom w:w="0" w:type="dxa"/>
            <w:right w:w="0" w:type="dxa"/>
          </w:tblCellMar>
        </w:tblPrEx>
        <w:trPr>
          <w:trHeight w:val="355"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textAlignment w:val="center"/>
              <w:rPr>
                <w:rFonts w:ascii="仿宋" w:hAnsi="仿宋" w:eastAsia="仿宋"/>
                <w:color w:val="000000"/>
                <w:sz w:val="24"/>
              </w:rPr>
            </w:pPr>
            <w:r>
              <w:rPr>
                <w:rStyle w:val="36"/>
                <w:rFonts w:ascii="仿宋" w:hAnsi="仿宋" w:eastAsia="仿宋" w:cs="Times New Roman"/>
                <w:sz w:val="24"/>
                <w:szCs w:val="24"/>
              </w:rPr>
              <w:t>部门（单位）名称</w:t>
            </w: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jc w:val="center"/>
              <w:rPr>
                <w:rFonts w:ascii="仿宋" w:hAnsi="仿宋" w:eastAsia="仿宋"/>
                <w:color w:val="000000"/>
                <w:sz w:val="24"/>
              </w:rPr>
            </w:pPr>
            <w:r>
              <w:rPr>
                <w:rFonts w:ascii="仿宋" w:hAnsi="仿宋" w:eastAsia="仿宋"/>
                <w:color w:val="000000"/>
                <w:sz w:val="24"/>
              </w:rPr>
              <w:t>大厂回族自治县北辰街道办事处</w:t>
            </w:r>
          </w:p>
        </w:tc>
      </w:tr>
      <w:tr>
        <w:tblPrEx>
          <w:tblCellMar>
            <w:top w:w="0" w:type="dxa"/>
            <w:left w:w="0" w:type="dxa"/>
            <w:bottom w:w="0" w:type="dxa"/>
            <w:right w:w="0" w:type="dxa"/>
          </w:tblCellMar>
        </w:tblPrEx>
        <w:trPr>
          <w:trHeight w:val="69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textAlignment w:val="center"/>
              <w:rPr>
                <w:rFonts w:eastAsia="等线"/>
                <w:color w:val="000000"/>
                <w:sz w:val="18"/>
                <w:szCs w:val="18"/>
              </w:rPr>
            </w:pPr>
            <w:r>
              <w:rPr>
                <w:rStyle w:val="36"/>
                <w:rFonts w:ascii="仿宋" w:hAnsi="仿宋" w:eastAsia="仿宋" w:cs="Times New Roman"/>
                <w:sz w:val="24"/>
                <w:szCs w:val="24"/>
              </w:rPr>
              <w:t>年度主要任务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textAlignment w:val="center"/>
              <w:rPr>
                <w:rFonts w:ascii="仿宋" w:hAnsi="仿宋" w:eastAsia="仿宋"/>
                <w:color w:val="000000"/>
                <w:sz w:val="24"/>
              </w:rPr>
            </w:pPr>
            <w:r>
              <w:rPr>
                <w:rStyle w:val="36"/>
                <w:rFonts w:ascii="仿宋" w:hAnsi="仿宋" w:eastAsia="仿宋" w:cs="Times New Roman"/>
                <w:sz w:val="24"/>
                <w:szCs w:val="24"/>
              </w:rPr>
              <w:t>重点工作任务名称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textAlignment w:val="center"/>
              <w:rPr>
                <w:rFonts w:ascii="仿宋" w:hAnsi="仿宋" w:eastAsia="仿宋"/>
                <w:color w:val="000000"/>
                <w:sz w:val="24"/>
              </w:rPr>
            </w:pPr>
            <w:r>
              <w:rPr>
                <w:rStyle w:val="36"/>
                <w:rFonts w:ascii="仿宋" w:hAnsi="仿宋" w:eastAsia="仿宋" w:cs="Times New Roman"/>
                <w:sz w:val="24"/>
                <w:szCs w:val="24"/>
              </w:rPr>
              <w:t>重点工作任务完成情况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textAlignment w:val="center"/>
              <w:rPr>
                <w:rFonts w:ascii="仿宋" w:hAnsi="仿宋" w:eastAsia="仿宋"/>
                <w:color w:val="000000"/>
                <w:sz w:val="24"/>
              </w:rPr>
            </w:pPr>
            <w:r>
              <w:rPr>
                <w:rStyle w:val="38"/>
                <w:rFonts w:ascii="仿宋" w:hAnsi="仿宋" w:eastAsia="仿宋" w:cs="Times New Roman"/>
                <w:sz w:val="24"/>
                <w:szCs w:val="24"/>
              </w:rPr>
              <w:t>拟对应安排的重点项目</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textAlignment w:val="center"/>
              <w:rPr>
                <w:rFonts w:ascii="仿宋" w:hAnsi="仿宋" w:eastAsia="仿宋"/>
                <w:color w:val="000000"/>
                <w:sz w:val="24"/>
              </w:rPr>
            </w:pPr>
            <w:r>
              <w:rPr>
                <w:rStyle w:val="36"/>
                <w:rFonts w:ascii="仿宋" w:hAnsi="仿宋" w:eastAsia="仿宋" w:cs="Times New Roman"/>
                <w:sz w:val="24"/>
                <w:szCs w:val="24"/>
              </w:rPr>
              <w:t>项目完成情况</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textAlignment w:val="center"/>
              <w:rPr>
                <w:rFonts w:ascii="仿宋" w:hAnsi="仿宋" w:eastAsia="仿宋"/>
                <w:color w:val="000000"/>
                <w:sz w:val="24"/>
              </w:rPr>
            </w:pPr>
            <w:r>
              <w:rPr>
                <w:rStyle w:val="36"/>
                <w:rFonts w:ascii="仿宋" w:hAnsi="仿宋" w:eastAsia="仿宋" w:cs="Times New Roman"/>
                <w:sz w:val="24"/>
                <w:szCs w:val="24"/>
              </w:rPr>
              <w:t>预算数</w:t>
            </w:r>
            <w:r>
              <w:rPr>
                <w:rStyle w:val="37"/>
                <w:rFonts w:ascii="仿宋" w:hAnsi="仿宋" w:eastAsia="仿宋"/>
                <w:sz w:val="24"/>
                <w:szCs w:val="24"/>
              </w:rPr>
              <w:br w:type="textWrapping"/>
            </w:r>
            <w:r>
              <w:rPr>
                <w:rStyle w:val="36"/>
                <w:rFonts w:ascii="仿宋" w:hAnsi="仿宋" w:eastAsia="仿宋" w:cs="Times New Roman"/>
                <w:sz w:val="24"/>
                <w:szCs w:val="24"/>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textAlignment w:val="center"/>
              <w:rPr>
                <w:rFonts w:ascii="仿宋" w:hAnsi="仿宋" w:eastAsia="仿宋"/>
                <w:color w:val="000000"/>
                <w:sz w:val="24"/>
              </w:rPr>
            </w:pPr>
            <w:r>
              <w:rPr>
                <w:rStyle w:val="36"/>
                <w:rFonts w:ascii="仿宋" w:hAnsi="仿宋" w:eastAsia="仿宋" w:cs="Times New Roman"/>
                <w:sz w:val="24"/>
                <w:szCs w:val="24"/>
              </w:rPr>
              <w:t>其中：财政拨款</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textAlignment w:val="center"/>
              <w:rPr>
                <w:rFonts w:ascii="仿宋" w:hAnsi="仿宋" w:eastAsia="仿宋"/>
                <w:color w:val="000000"/>
                <w:sz w:val="24"/>
              </w:rPr>
            </w:pPr>
            <w:r>
              <w:rPr>
                <w:rStyle w:val="36"/>
                <w:rFonts w:ascii="仿宋" w:hAnsi="仿宋" w:eastAsia="仿宋" w:cs="Times New Roman"/>
                <w:sz w:val="24"/>
                <w:szCs w:val="24"/>
              </w:rPr>
              <w:t>执行数</w:t>
            </w:r>
            <w:r>
              <w:rPr>
                <w:rStyle w:val="37"/>
                <w:rFonts w:ascii="仿宋" w:hAnsi="仿宋" w:eastAsia="仿宋"/>
                <w:sz w:val="24"/>
                <w:szCs w:val="24"/>
              </w:rPr>
              <w:br w:type="textWrapping"/>
            </w:r>
            <w:r>
              <w:rPr>
                <w:rStyle w:val="36"/>
                <w:rFonts w:ascii="仿宋" w:hAnsi="仿宋" w:eastAsia="仿宋" w:cs="Times New Roman"/>
                <w:sz w:val="24"/>
                <w:szCs w:val="24"/>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textAlignment w:val="center"/>
              <w:rPr>
                <w:rFonts w:ascii="仿宋" w:hAnsi="仿宋" w:eastAsia="仿宋"/>
                <w:color w:val="000000"/>
                <w:sz w:val="24"/>
              </w:rPr>
            </w:pPr>
            <w:r>
              <w:rPr>
                <w:rStyle w:val="36"/>
                <w:rFonts w:ascii="仿宋" w:hAnsi="仿宋" w:eastAsia="仿宋" w:cs="Times New Roman"/>
                <w:sz w:val="24"/>
                <w:szCs w:val="24"/>
              </w:rPr>
              <w:t>其中：财政拨款</w:t>
            </w:r>
          </w:p>
        </w:tc>
      </w:tr>
      <w:tr>
        <w:tblPrEx>
          <w:tblCellMar>
            <w:top w:w="0" w:type="dxa"/>
            <w:left w:w="0" w:type="dxa"/>
            <w:bottom w:w="0" w:type="dxa"/>
            <w:right w:w="0" w:type="dxa"/>
          </w:tblCellMar>
        </w:tblPrEx>
        <w:trPr>
          <w:trHeight w:val="1037"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Fonts w:ascii="仿宋" w:hAnsi="仿宋" w:eastAsia="仿宋"/>
                <w:color w:val="000000"/>
                <w:sz w:val="24"/>
              </w:rPr>
            </w:pPr>
            <w:r>
              <w:rPr>
                <w:rFonts w:hint="eastAsia" w:ascii="仿宋" w:hAnsi="仿宋" w:eastAsia="仿宋"/>
                <w:color w:val="000000"/>
                <w:sz w:val="24"/>
              </w:rPr>
              <w:t>加大信访维稳工作，建立信访维稳长效机制</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eastAsia="仿宋" w:cs="Times New Roman"/>
                <w:sz w:val="24"/>
                <w:szCs w:val="24"/>
              </w:rPr>
            </w:pPr>
            <w:r>
              <w:rPr>
                <w:rStyle w:val="36"/>
                <w:rFonts w:hint="eastAsia" w:ascii="仿宋" w:hAnsi="仿宋" w:eastAsia="仿宋" w:cs="Times New Roman"/>
                <w:sz w:val="24"/>
                <w:szCs w:val="24"/>
              </w:rPr>
              <w:t>完成</w:t>
            </w:r>
            <w:r>
              <w:rPr>
                <w:rStyle w:val="36"/>
                <w:rFonts w:ascii="仿宋" w:hAnsi="仿宋" w:eastAsia="仿宋" w:cs="Times New Roman"/>
                <w:sz w:val="24"/>
                <w:szCs w:val="24"/>
              </w:rPr>
              <w:t>县委县政府安排的值班工作</w:t>
            </w:r>
            <w:r>
              <w:rPr>
                <w:rStyle w:val="36"/>
                <w:rFonts w:hint="eastAsia" w:ascii="仿宋" w:hAnsi="仿宋" w:eastAsia="仿宋" w:cs="Times New Roman"/>
                <w:sz w:val="24"/>
                <w:szCs w:val="24"/>
              </w:rPr>
              <w:t>，处理</w:t>
            </w:r>
            <w:r>
              <w:rPr>
                <w:rStyle w:val="36"/>
                <w:rFonts w:ascii="仿宋" w:hAnsi="仿宋" w:eastAsia="仿宋" w:cs="Times New Roman"/>
                <w:sz w:val="24"/>
                <w:szCs w:val="24"/>
              </w:rPr>
              <w:t>各项信访接待事件</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eastAsia="仿宋" w:cs="Times New Roman"/>
                <w:sz w:val="24"/>
                <w:szCs w:val="24"/>
              </w:rPr>
            </w:pPr>
            <w:r>
              <w:rPr>
                <w:rStyle w:val="36"/>
                <w:rFonts w:hint="eastAsia" w:ascii="仿宋" w:hAnsi="仿宋" w:eastAsia="仿宋" w:cs="Times New Roman"/>
                <w:sz w:val="24"/>
                <w:szCs w:val="24"/>
              </w:rPr>
              <w:t>信访经费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rPr>
                <w:rFonts w:ascii="仿宋" w:hAnsi="仿宋" w:eastAsia="仿宋"/>
                <w:color w:val="000000"/>
                <w:sz w:val="24"/>
              </w:rPr>
            </w:pPr>
            <w:r>
              <w:rPr>
                <w:rFonts w:ascii="仿宋" w:hAnsi="仿宋" w:eastAsia="仿宋"/>
                <w:color w:val="000000"/>
                <w:sz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rPr>
                <w:rFonts w:ascii="仿宋" w:hAnsi="仿宋" w:eastAsia="仿宋"/>
                <w:color w:val="000000"/>
                <w:sz w:val="24"/>
              </w:rPr>
            </w:pPr>
            <w:r>
              <w:rPr>
                <w:rFonts w:hint="eastAsia" w:ascii="仿宋" w:hAnsi="仿宋" w:eastAsia="仿宋"/>
                <w:color w:val="000000"/>
                <w:sz w:val="24"/>
              </w:rPr>
              <w:t>3.16</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rPr>
                <w:rFonts w:ascii="仿宋" w:hAnsi="仿宋" w:eastAsia="仿宋"/>
                <w:color w:val="000000"/>
                <w:sz w:val="24"/>
              </w:rPr>
            </w:pPr>
            <w:r>
              <w:rPr>
                <w:rFonts w:hint="eastAsia" w:ascii="仿宋" w:hAnsi="仿宋" w:eastAsia="仿宋"/>
                <w:color w:val="000000"/>
                <w:sz w:val="24"/>
              </w:rPr>
              <w:t>3.16</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rPr>
                <w:rFonts w:ascii="仿宋" w:hAnsi="仿宋" w:eastAsia="仿宋"/>
                <w:color w:val="000000"/>
                <w:sz w:val="24"/>
              </w:rPr>
            </w:pPr>
            <w:r>
              <w:rPr>
                <w:rFonts w:hint="eastAsia" w:ascii="仿宋" w:hAnsi="仿宋" w:eastAsia="仿宋"/>
                <w:color w:val="000000"/>
                <w:sz w:val="24"/>
              </w:rPr>
              <w:t>0.19</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rPr>
                <w:rFonts w:ascii="仿宋" w:hAnsi="仿宋" w:eastAsia="仿宋"/>
                <w:color w:val="000000"/>
                <w:sz w:val="24"/>
              </w:rPr>
            </w:pPr>
            <w:r>
              <w:rPr>
                <w:rFonts w:hint="eastAsia" w:ascii="仿宋" w:hAnsi="仿宋" w:eastAsia="仿宋"/>
                <w:color w:val="000000"/>
                <w:sz w:val="24"/>
              </w:rPr>
              <w:t>0.19</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Fonts w:eastAsia="等线"/>
                <w:color w:val="000000"/>
                <w:kern w:val="0"/>
                <w:sz w:val="18"/>
                <w:szCs w:val="18"/>
              </w:rPr>
            </w:pPr>
            <w:r>
              <w:rPr>
                <w:rFonts w:hint="eastAsia" w:eastAsia="等线"/>
                <w:color w:val="000000"/>
                <w:kern w:val="0"/>
                <w:sz w:val="18"/>
                <w:szCs w:val="18"/>
              </w:rPr>
              <w:t>对机关屋面及墙体进行基础修缮</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完成北辰街道办事处机关屋面防水及部分外墙改造施工任务，优化办公环境。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北辰街道办事处机关屋面防水及部分外墙改造工程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rPr>
                <w:rFonts w:eastAsia="等线"/>
                <w:color w:val="000000"/>
                <w:sz w:val="18"/>
                <w:szCs w:val="18"/>
              </w:rPr>
            </w:pPr>
            <w:r>
              <w:rPr>
                <w:rFonts w:eastAsia="等线"/>
                <w:color w:val="000000"/>
                <w:sz w:val="18"/>
                <w:szCs w:val="18"/>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rPr>
                <w:rFonts w:ascii="仿宋" w:hAnsi="仿宋" w:eastAsia="仿宋"/>
                <w:color w:val="000000"/>
                <w:sz w:val="24"/>
              </w:rPr>
            </w:pPr>
            <w:r>
              <w:rPr>
                <w:rFonts w:hint="eastAsia" w:ascii="仿宋" w:hAnsi="仿宋" w:eastAsia="仿宋"/>
                <w:color w:val="000000"/>
                <w:sz w:val="24"/>
              </w:rPr>
              <w:t>8.62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rPr>
                <w:rFonts w:ascii="仿宋" w:hAnsi="仿宋" w:eastAsia="仿宋"/>
                <w:color w:val="000000"/>
                <w:sz w:val="24"/>
              </w:rPr>
            </w:pPr>
            <w:r>
              <w:rPr>
                <w:rFonts w:hint="eastAsia" w:ascii="仿宋" w:hAnsi="仿宋" w:eastAsia="仿宋"/>
                <w:color w:val="000000"/>
                <w:sz w:val="24"/>
              </w:rPr>
              <w:t>8.62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rPr>
                <w:rFonts w:ascii="仿宋" w:hAnsi="仿宋" w:eastAsia="仿宋"/>
                <w:color w:val="000000"/>
                <w:sz w:val="24"/>
              </w:rPr>
            </w:pPr>
            <w:r>
              <w:rPr>
                <w:rFonts w:hint="eastAsia" w:ascii="仿宋" w:hAnsi="仿宋" w:eastAsia="仿宋"/>
                <w:color w:val="000000"/>
                <w:sz w:val="24"/>
              </w:rPr>
              <w:t>8.62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rPr>
                <w:rFonts w:ascii="仿宋" w:hAnsi="仿宋" w:eastAsia="仿宋"/>
                <w:color w:val="000000"/>
                <w:sz w:val="24"/>
              </w:rPr>
            </w:pPr>
            <w:r>
              <w:rPr>
                <w:rFonts w:hint="eastAsia" w:ascii="仿宋" w:hAnsi="仿宋" w:eastAsia="仿宋"/>
                <w:color w:val="000000"/>
                <w:sz w:val="24"/>
              </w:rPr>
              <w:t>8.62</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开展大气污染防治，抓好生态环境建设</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印发宣传单页、制作条幅、展牌，提高宣传覆盖率，促进居民自觉维护环境卫生，建设和谐美好社区。</w:t>
            </w:r>
          </w:p>
          <w:p>
            <w:pPr>
              <w:widowControl/>
              <w:tabs>
                <w:tab w:val="left" w:pos="0"/>
              </w:tabs>
              <w:adjustRightInd w:val="0"/>
              <w:snapToGrid w:val="0"/>
              <w:spacing w:after="0" w:line="240" w:lineRule="auto"/>
              <w:jc w:val="left"/>
              <w:rPr>
                <w:rStyle w:val="36"/>
                <w:rFonts w:ascii="仿宋" w:hAnsi="仿宋" w:eastAsia="仿宋" w:cs="Times New Roman"/>
                <w:sz w:val="24"/>
                <w:szCs w:val="24"/>
              </w:rPr>
            </w:pPr>
          </w:p>
          <w:p>
            <w:pPr>
              <w:widowControl/>
              <w:tabs>
                <w:tab w:val="left" w:pos="0"/>
              </w:tabs>
              <w:adjustRightInd w:val="0"/>
              <w:snapToGrid w:val="0"/>
              <w:spacing w:after="0" w:line="240" w:lineRule="auto"/>
              <w:jc w:val="left"/>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环保所经费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pPr>
            <w:r>
              <w:rPr>
                <w:rFonts w:hint="eastAsia"/>
              </w:rPr>
              <w:t>0.50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pPr>
            <w:r>
              <w:rPr>
                <w:rFonts w:hint="eastAsia"/>
              </w:rPr>
              <w:t>0.50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pPr>
            <w:r>
              <w:rPr>
                <w:rFonts w:hint="eastAsia"/>
              </w:rPr>
              <w:t>0.50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jc w:val="center"/>
            </w:pPr>
            <w:r>
              <w:rPr>
                <w:rFonts w:hint="eastAsia"/>
              </w:rPr>
              <w:t>0.50</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选聘计生小组长，加强社区计生工作管理</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按时按量的发放计生小组长补贴，提高计生知识覆盖率、有效开展各项计生工作。</w:t>
            </w:r>
          </w:p>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计生小组长补贴经费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12.15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12.15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12.15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12.15</w:t>
            </w:r>
          </w:p>
        </w:tc>
      </w:tr>
      <w:tr>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选聘楼门栋长，加强社区管理</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按时按量的发放楼门栋长补贴，促使楼门栋长配合社区居委会工作，降低居民纠纷率， 保障社区工作正常开展。</w:t>
            </w:r>
          </w:p>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楼门栋长补贴经费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39.45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39.45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39.45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39.45</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加强基层党组织建设</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完善10个社区服务设施建设、社区党员团队服务建设、解决居民的迫切需要、为居民提供服务、为物业公司进行补贴，降低群众问题反映率、提高群众满意度。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社区党组织服务群众专项经费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189.30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189.30</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社区日常管理服务建设等工作</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完成10个社区日常工作需求、为居民提供服务，提高正常工作开展率，提高居民满意度。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社区工作经费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111.2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111.2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111.11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111.11</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监督管理辖区内安全生产、消防、食品安全等</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通过向小区居民印发宣传册，普及食品药品安全常识，促进安全生产。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食药监所、安监站经费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0.5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0.5</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做好退役军人服务管理</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印发宣传资料普及政策方针，切实解决退役军人反映问题，走访慰问，为退役军人送温暖。</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退役军人管理服务站经费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创建文化家园</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建设荣昌苑社区文化家园，进一步完善活动室，为居民开展活动提供便利</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2019年省级宣传文化（发展）专项资金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3.00</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提供社区管理服务</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按时按量发放社区工作者补贴，促进社区工作的高效完成，维护生活小区环境，助力和谐小区。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社区工作人员补贴</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37.8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37.8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37.6</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37.6</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机关和社区实施政府购买服务</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通过按时按量发放政府购买人员工资，提高工作完成率、提升业务能力、提高小区居民对社区服务的满意度。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政府向社会购买服务专项经费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221.38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221.38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210.12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210.12</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完成创建国家文明县城工作</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根据创城工作需要，购置创城工作活动设备，完成各项创城工作；制作宣传牌、宣创页等印刷品，传播正能量，进一步提升居民综合素质。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创建省级文明县城专项资金</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15</w:t>
            </w:r>
          </w:p>
        </w:tc>
      </w:tr>
      <w:tr>
        <w:tblPrEx>
          <w:tblCellMar>
            <w:top w:w="0" w:type="dxa"/>
            <w:left w:w="0" w:type="dxa"/>
            <w:bottom w:w="0" w:type="dxa"/>
            <w:right w:w="0" w:type="dxa"/>
          </w:tblCellMar>
        </w:tblPrEx>
        <w:trPr>
          <w:trHeight w:val="11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申请辖区内煤改气工程款</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做好辖区内“气代煤”补贴户数的统计核对工作，清算“气代煤”炉具安装补贴资金，将补贴资金发放到位。</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“气代煤”工程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325.3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325.3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324.82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324.82</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完善社区基础设施建设</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通过项目的开展按质按量完成小区改造工程，完善基础设施建设，提高小区居民满意度，打造和谐小区。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城区老旧住宅小区公共基础设施和背街小巷道路改造提升工程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1021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1021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1020.45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1020.45</w:t>
            </w:r>
          </w:p>
        </w:tc>
      </w:tr>
      <w:tr>
        <w:tblPrEx>
          <w:tblCellMar>
            <w:top w:w="0" w:type="dxa"/>
            <w:left w:w="0" w:type="dxa"/>
            <w:bottom w:w="0" w:type="dxa"/>
            <w:right w:w="0" w:type="dxa"/>
          </w:tblCellMar>
        </w:tblPrEx>
        <w:trPr>
          <w:trHeight w:val="1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老旧小区改造前期监理工作</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为小区改造聘请第三方进行监理，保证工程质量，进一步完善基础设施建设，提高小区居民满意度，打造和谐小区。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老旧小区二期工程前期费用</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40.51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40.51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38.99</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38.99</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对老旧小区改造工程</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通过完成小区改造工程，进一步完善基础设施建设，提高小区居民满意度，打造和谐小区。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老旧小区改造二期工程</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572.95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572.95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572.95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572.95</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推进智慧社区维护与建设</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进一步提升社区信息化建设水平,排除系统故障，降低非正常停机率，减少档案检索时间和响应时间，保证系统正常运行。</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智慧社区维护费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49.5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49.5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44.55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44.55</w:t>
            </w:r>
          </w:p>
        </w:tc>
      </w:tr>
      <w:tr>
        <w:tblPrEx>
          <w:tblCellMar>
            <w:top w:w="0" w:type="dxa"/>
            <w:left w:w="0" w:type="dxa"/>
            <w:bottom w:w="0" w:type="dxa"/>
            <w:right w:w="0" w:type="dxa"/>
          </w:tblCellMar>
        </w:tblPrEx>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促进城市网格化管理工作</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widowControl/>
              <w:tabs>
                <w:tab w:val="left" w:pos="0"/>
              </w:tabs>
              <w:adjustRightInd w:val="0"/>
              <w:snapToGrid w:val="0"/>
              <w:spacing w:after="0" w:line="240" w:lineRule="auto"/>
              <w:jc w:val="left"/>
              <w:rPr>
                <w:rStyle w:val="36"/>
                <w:rFonts w:ascii="仿宋" w:hAnsi="仿宋" w:eastAsia="仿宋" w:cs="Times New Roman"/>
                <w:sz w:val="24"/>
                <w:szCs w:val="24"/>
              </w:rPr>
            </w:pPr>
            <w:r>
              <w:rPr>
                <w:rStyle w:val="36"/>
                <w:rFonts w:hint="eastAsia" w:ascii="仿宋" w:hAnsi="仿宋" w:eastAsia="仿宋" w:cs="Times New Roman"/>
                <w:sz w:val="24"/>
                <w:szCs w:val="24"/>
              </w:rPr>
              <w:t>通过项目的开展，按时按量发放网格员补贴，提高工作完成率和服务水平，提高小区居民满意度。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网格员补贴经费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47.1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47.1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47.1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47.1</w:t>
            </w:r>
          </w:p>
        </w:tc>
      </w:tr>
      <w:tr>
        <w:trPr>
          <w:trHeight w:val="41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集中清理清运老旧小区垃圾物</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开展小区内垃圾清理工作，提高居民居住环境舒适度，进一步打造环境优美小区。</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城区内老旧小区垃圾清理清运费</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按时完成</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11.38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11.38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11.38</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11.38</w:t>
            </w:r>
          </w:p>
        </w:tc>
      </w:tr>
      <w:tr>
        <w:tblPrEx>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金额合计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2721.5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2721.5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2688.77</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2688.77</w:t>
            </w:r>
          </w:p>
        </w:tc>
      </w:tr>
      <w:tr>
        <w:tblPrEx>
          <w:tblCellMar>
            <w:top w:w="0" w:type="dxa"/>
            <w:left w:w="0" w:type="dxa"/>
            <w:bottom w:w="0" w:type="dxa"/>
            <w:right w:w="0" w:type="dxa"/>
          </w:tblCellMar>
        </w:tblPrEx>
        <w:trPr>
          <w:trHeight w:val="53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一级指标</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二级指标</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三级指标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目标值</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自评实际值</w:t>
            </w:r>
          </w:p>
        </w:tc>
        <w:tc>
          <w:tcPr>
            <w:tcW w:w="0" w:type="auto"/>
            <w:tcBorders>
              <w:top w:val="single" w:color="000000" w:sz="4" w:space="0"/>
              <w:left w:val="nil"/>
              <w:bottom w:val="nil"/>
              <w:right w:val="nil"/>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权重</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自评得分</w:t>
            </w:r>
          </w:p>
        </w:tc>
      </w:tr>
      <w:tr>
        <w:tblPrEx>
          <w:tblCellMar>
            <w:top w:w="0" w:type="dxa"/>
            <w:left w:w="0" w:type="dxa"/>
            <w:bottom w:w="0" w:type="dxa"/>
            <w:right w:w="0" w:type="dxa"/>
          </w:tblCellMar>
        </w:tblPrEx>
        <w:trPr>
          <w:trHeight w:val="40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部门管理（40分）</w:t>
            </w: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资金</w:t>
            </w:r>
            <w:r>
              <w:rPr>
                <w:rStyle w:val="36"/>
                <w:rFonts w:ascii="仿宋" w:hAnsi="仿宋" w:eastAsia="仿宋" w:cs="Times New Roman"/>
                <w:sz w:val="24"/>
                <w:szCs w:val="24"/>
              </w:rPr>
              <w:br w:type="textWrapping"/>
            </w:r>
            <w:r>
              <w:rPr>
                <w:rStyle w:val="36"/>
                <w:rFonts w:ascii="仿宋" w:hAnsi="仿宋" w:eastAsia="仿宋" w:cs="Times New Roman"/>
                <w:sz w:val="24"/>
                <w:szCs w:val="24"/>
              </w:rPr>
              <w:t>投入</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预算完成率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≥95%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97%</w:t>
            </w:r>
          </w:p>
        </w:tc>
        <w:tc>
          <w:tcPr>
            <w:tcW w:w="0" w:type="auto"/>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w:t>
            </w:r>
          </w:p>
        </w:tc>
      </w:tr>
      <w:tr>
        <w:tblPrEx>
          <w:tblCellMar>
            <w:top w:w="0" w:type="dxa"/>
            <w:left w:w="0" w:type="dxa"/>
            <w:bottom w:w="0" w:type="dxa"/>
            <w:right w:w="0" w:type="dxa"/>
          </w:tblCellMar>
        </w:tblPrEx>
        <w:trPr>
          <w:trHeight w:val="3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预算调整率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w:t>
            </w:r>
          </w:p>
        </w:tc>
        <w:tc>
          <w:tcPr>
            <w:tcW w:w="0" w:type="auto"/>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w:t>
            </w:r>
          </w:p>
        </w:tc>
      </w:tr>
      <w:tr>
        <w:tblPrEx>
          <w:tblCellMar>
            <w:top w:w="0" w:type="dxa"/>
            <w:left w:w="0" w:type="dxa"/>
            <w:bottom w:w="0" w:type="dxa"/>
            <w:right w:w="0" w:type="dxa"/>
          </w:tblCellMar>
        </w:tblPrEx>
        <w:trPr>
          <w:trHeight w:val="9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支出进度率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w:t>
            </w:r>
          </w:p>
        </w:tc>
      </w:tr>
      <w:tr>
        <w:trPr>
          <w:trHeight w:val="2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“三公经费”变动率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≤0　</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w:t>
            </w:r>
          </w:p>
        </w:tc>
      </w:tr>
      <w:tr>
        <w:tblPrEx>
          <w:tblCellMar>
            <w:top w:w="0" w:type="dxa"/>
            <w:left w:w="0" w:type="dxa"/>
            <w:bottom w:w="0" w:type="dxa"/>
            <w:right w:w="0" w:type="dxa"/>
          </w:tblCellMar>
        </w:tblPrEx>
        <w:trPr>
          <w:trHeight w:val="36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结转结余变动率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≤0　</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w:t>
            </w:r>
          </w:p>
        </w:tc>
      </w:tr>
      <w:tr>
        <w:tblPrEx>
          <w:tblCellMar>
            <w:top w:w="0" w:type="dxa"/>
            <w:left w:w="0" w:type="dxa"/>
            <w:bottom w:w="0" w:type="dxa"/>
            <w:right w:w="0"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财务管理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问题资金占比</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w:t>
            </w:r>
          </w:p>
        </w:tc>
      </w:tr>
      <w:tr>
        <w:tblPrEx>
          <w:tblCellMar>
            <w:top w:w="0" w:type="dxa"/>
            <w:left w:w="0" w:type="dxa"/>
            <w:bottom w:w="0" w:type="dxa"/>
            <w:right w:w="0" w:type="dxa"/>
          </w:tblCellMar>
        </w:tblPrEx>
        <w:trPr>
          <w:trHeight w:val="46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采购管理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政府采购执行率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≥95%</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3</w:t>
            </w:r>
          </w:p>
        </w:tc>
      </w:tr>
      <w:tr>
        <w:trPr>
          <w:trHeight w:val="433"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资产管理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资产管理规范性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规范　</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规范</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4</w:t>
            </w:r>
          </w:p>
        </w:tc>
      </w:tr>
      <w:tr>
        <w:tblPrEx>
          <w:tblCellMar>
            <w:top w:w="0" w:type="dxa"/>
            <w:left w:w="0" w:type="dxa"/>
            <w:bottom w:w="0" w:type="dxa"/>
            <w:right w:w="0" w:type="dxa"/>
          </w:tblCellMar>
        </w:tblPrEx>
        <w:trPr>
          <w:trHeight w:val="476"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人员管理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在职人员控制率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w:t>
            </w:r>
          </w:p>
        </w:tc>
      </w:tr>
      <w:tr>
        <w:tblPrEx>
          <w:tblCellMar>
            <w:top w:w="0" w:type="dxa"/>
            <w:left w:w="0" w:type="dxa"/>
            <w:bottom w:w="0" w:type="dxa"/>
            <w:right w:w="0" w:type="dxa"/>
          </w:tblCellMar>
        </w:tblPrEx>
        <w:trPr>
          <w:trHeight w:val="46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信息管理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预决算信息公开性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按规定公开</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按规定公开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w:t>
            </w:r>
          </w:p>
        </w:tc>
      </w:tr>
      <w:tr>
        <w:tblPrEx>
          <w:tblCellMar>
            <w:top w:w="0" w:type="dxa"/>
            <w:left w:w="0" w:type="dxa"/>
            <w:bottom w:w="0" w:type="dxa"/>
            <w:right w:w="0"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绩效信息公开性</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按规定公开</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按规定公开</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w:t>
            </w:r>
          </w:p>
        </w:tc>
      </w:tr>
      <w:tr>
        <w:tblPrEx>
          <w:tblCellMar>
            <w:top w:w="0" w:type="dxa"/>
            <w:left w:w="0" w:type="dxa"/>
            <w:bottom w:w="0" w:type="dxa"/>
            <w:right w:w="0" w:type="dxa"/>
          </w:tblCellMar>
        </w:tblPrEx>
        <w:trPr>
          <w:trHeight w:val="392"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绩效管理</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绩效目标审核通过率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w:t>
            </w:r>
          </w:p>
        </w:tc>
      </w:tr>
      <w:tr>
        <w:tblPrEx>
          <w:tblCellMar>
            <w:top w:w="0" w:type="dxa"/>
            <w:left w:w="0" w:type="dxa"/>
            <w:bottom w:w="0" w:type="dxa"/>
            <w:right w:w="0" w:type="dxa"/>
          </w:tblCellMar>
        </w:tblPrEx>
        <w:trPr>
          <w:trHeight w:val="3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绩效自评覆盖率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2</w:t>
            </w:r>
          </w:p>
        </w:tc>
      </w:tr>
      <w:tr>
        <w:tblPrEx>
          <w:tblCellMar>
            <w:top w:w="0" w:type="dxa"/>
            <w:left w:w="0" w:type="dxa"/>
            <w:bottom w:w="0" w:type="dxa"/>
            <w:right w:w="0" w:type="dxa"/>
          </w:tblCellMar>
        </w:tblPrEx>
        <w:trPr>
          <w:trHeight w:val="407"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部门产出（40分）</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数量</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重点工作实际完成率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15</w:t>
            </w:r>
          </w:p>
        </w:tc>
      </w:tr>
      <w:tr>
        <w:tblPrEx>
          <w:tblCellMar>
            <w:top w:w="0" w:type="dxa"/>
            <w:left w:w="0" w:type="dxa"/>
            <w:bottom w:w="0" w:type="dxa"/>
            <w:right w:w="0" w:type="dxa"/>
          </w:tblCellMar>
        </w:tblPrEx>
        <w:trPr>
          <w:trHeight w:val="3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质量</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重点工作质量达标率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w:t>
            </w:r>
          </w:p>
        </w:tc>
      </w:tr>
      <w:tr>
        <w:tblPrEx>
          <w:tblCellMar>
            <w:top w:w="0" w:type="dxa"/>
            <w:left w:w="0" w:type="dxa"/>
            <w:bottom w:w="0" w:type="dxa"/>
            <w:right w:w="0" w:type="dxa"/>
          </w:tblCellMar>
        </w:tblPrEx>
        <w:trPr>
          <w:trHeight w:val="45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时效</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重点工作完成及时率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w:t>
            </w:r>
          </w:p>
        </w:tc>
      </w:tr>
      <w:tr>
        <w:tblPrEx>
          <w:tblCellMar>
            <w:top w:w="0" w:type="dxa"/>
            <w:left w:w="0" w:type="dxa"/>
            <w:bottom w:w="0" w:type="dxa"/>
            <w:right w:w="0" w:type="dxa"/>
          </w:tblCellMar>
        </w:tblPrEx>
        <w:trPr>
          <w:trHeight w:val="378"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成本</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一般性支出压减率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&gt;0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5</w:t>
            </w:r>
          </w:p>
        </w:tc>
      </w:tr>
      <w:tr>
        <w:tblPrEx>
          <w:tblCellMar>
            <w:top w:w="0" w:type="dxa"/>
            <w:left w:w="0" w:type="dxa"/>
            <w:bottom w:w="0" w:type="dxa"/>
            <w:right w:w="0" w:type="dxa"/>
          </w:tblCellMar>
        </w:tblPrEx>
        <w:trPr>
          <w:trHeight w:val="376"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部门效果（20分）</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经济效益</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支出及时率</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w:t>
            </w:r>
            <w:r>
              <w:rPr>
                <w:rStyle w:val="36"/>
                <w:rFonts w:hint="eastAsia" w:ascii="仿宋" w:hAnsi="仿宋" w:eastAsia="仿宋" w:cs="Times New Roman"/>
                <w:sz w:val="24"/>
                <w:szCs w:val="24"/>
              </w:rPr>
              <w:t>90%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100%</w:t>
            </w:r>
          </w:p>
        </w:tc>
        <w:tc>
          <w:tcPr>
            <w:tcW w:w="0" w:type="auto"/>
            <w:vMerge w:val="restart"/>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5</w:t>
            </w:r>
          </w:p>
        </w:tc>
      </w:tr>
      <w:tr>
        <w:tblPrEx>
          <w:tblCellMar>
            <w:top w:w="0" w:type="dxa"/>
            <w:left w:w="0" w:type="dxa"/>
            <w:bottom w:w="0" w:type="dxa"/>
            <w:right w:w="0" w:type="dxa"/>
          </w:tblCellMar>
        </w:tblPrEx>
        <w:trPr>
          <w:trHeight w:val="304"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社会效益</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完善基础设施建设</w:t>
            </w:r>
            <w:r>
              <w:rPr>
                <w:rStyle w:val="36"/>
                <w:rFonts w:hint="eastAsia" w:ascii="仿宋" w:hAnsi="仿宋" w:eastAsia="仿宋" w:cs="Times New Roman"/>
                <w:sz w:val="24"/>
                <w:szCs w:val="24"/>
              </w:rPr>
              <w:t>，</w:t>
            </w:r>
            <w:r>
              <w:rPr>
                <w:rStyle w:val="36"/>
                <w:rFonts w:ascii="仿宋" w:hAnsi="仿宋" w:eastAsia="仿宋" w:cs="Times New Roman"/>
                <w:sz w:val="24"/>
                <w:szCs w:val="24"/>
              </w:rPr>
              <w:t>提高居民生活质量</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有效提高</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有效提高</w:t>
            </w:r>
          </w:p>
        </w:tc>
        <w:tc>
          <w:tcPr>
            <w:tcW w:w="0" w:type="auto"/>
            <w:vMerge w:val="continue"/>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5</w:t>
            </w:r>
          </w:p>
        </w:tc>
      </w:tr>
      <w:tr>
        <w:tblPrEx>
          <w:tblCellMar>
            <w:top w:w="0" w:type="dxa"/>
            <w:left w:w="0" w:type="dxa"/>
            <w:bottom w:w="0" w:type="dxa"/>
            <w:right w:w="0" w:type="dxa"/>
          </w:tblCellMar>
        </w:tblPrEx>
        <w:trPr>
          <w:trHeight w:val="31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生态效益</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vMerge w:val="continue"/>
            <w:tcBorders>
              <w:top w:val="single" w:color="000000" w:sz="4" w:space="0"/>
              <w:left w:val="nil"/>
              <w:bottom w:val="single" w:color="000000" w:sz="4" w:space="0"/>
              <w:right w:val="nil"/>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r>
      <w:tr>
        <w:tblPrEx>
          <w:tblCellMar>
            <w:top w:w="0" w:type="dxa"/>
            <w:left w:w="0" w:type="dxa"/>
            <w:bottom w:w="0" w:type="dxa"/>
            <w:right w:w="0" w:type="dxa"/>
          </w:tblCellMar>
        </w:tblPrEx>
        <w:trPr>
          <w:trHeight w:val="43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满意度</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小区居民满意度</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≥90%</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95%</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10</w:t>
            </w:r>
          </w:p>
        </w:tc>
      </w:tr>
      <w:tr>
        <w:tblPrEx>
          <w:tblCellMar>
            <w:top w:w="0" w:type="dxa"/>
            <w:left w:w="0" w:type="dxa"/>
            <w:bottom w:w="0" w:type="dxa"/>
            <w:right w:w="0" w:type="dxa"/>
          </w:tblCellMar>
        </w:tblPrEx>
        <w:trPr>
          <w:trHeight w:val="374"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合　计</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w:t>
            </w:r>
          </w:p>
        </w:tc>
        <w:tc>
          <w:tcPr>
            <w:tcW w:w="0" w:type="auto"/>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w:t>
            </w:r>
          </w:p>
        </w:tc>
        <w:tc>
          <w:tcPr>
            <w:tcW w:w="0" w:type="auto"/>
            <w:tcBorders>
              <w:top w:val="single" w:color="000000" w:sz="4" w:space="0"/>
              <w:left w:val="nil"/>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99</w:t>
            </w:r>
          </w:p>
        </w:tc>
      </w:tr>
      <w:tr>
        <w:tblPrEx>
          <w:tblCellMar>
            <w:top w:w="0" w:type="dxa"/>
            <w:left w:w="0" w:type="dxa"/>
            <w:bottom w:w="0" w:type="dxa"/>
            <w:right w:w="0" w:type="dxa"/>
          </w:tblCellMar>
        </w:tblPrEx>
        <w:trPr>
          <w:trHeight w:val="431"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评价结论：</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bottom"/>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优</w:t>
            </w:r>
          </w:p>
        </w:tc>
      </w:tr>
      <w:tr>
        <w:tblPrEx>
          <w:tblCellMar>
            <w:top w:w="0" w:type="dxa"/>
            <w:left w:w="0" w:type="dxa"/>
            <w:bottom w:w="0" w:type="dxa"/>
            <w:right w:w="0" w:type="dxa"/>
          </w:tblCellMar>
        </w:tblPrEx>
        <w:trPr>
          <w:trHeight w:val="710"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绩效指标完成的指标</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部门</w:t>
            </w:r>
            <w:r>
              <w:rPr>
                <w:rStyle w:val="36"/>
                <w:rFonts w:ascii="仿宋" w:hAnsi="仿宋" w:eastAsia="仿宋" w:cs="Times New Roman"/>
                <w:sz w:val="24"/>
                <w:szCs w:val="24"/>
              </w:rPr>
              <w:t>预算项目设定的工作任务和绩效目标指标如期完成</w:t>
            </w:r>
            <w:r>
              <w:rPr>
                <w:rStyle w:val="36"/>
                <w:rFonts w:hint="eastAsia" w:ascii="仿宋" w:hAnsi="仿宋" w:eastAsia="仿宋" w:cs="Times New Roman"/>
                <w:sz w:val="24"/>
                <w:szCs w:val="24"/>
              </w:rPr>
              <w:t>，</w:t>
            </w:r>
          </w:p>
          <w:p>
            <w:pPr>
              <w:spacing w:line="240" w:lineRule="auto"/>
              <w:textAlignment w:val="center"/>
              <w:rPr>
                <w:rStyle w:val="36"/>
                <w:rFonts w:ascii="仿宋" w:hAnsi="仿宋" w:eastAsia="仿宋" w:cs="Times New Roman"/>
                <w:sz w:val="24"/>
                <w:szCs w:val="24"/>
              </w:rPr>
            </w:pPr>
            <w:r>
              <w:rPr>
                <w:rStyle w:val="36"/>
                <w:rFonts w:hint="eastAsia" w:ascii="仿宋" w:hAnsi="仿宋" w:eastAsia="仿宋" w:cs="Times New Roman"/>
                <w:sz w:val="24"/>
                <w:szCs w:val="24"/>
              </w:rPr>
              <w:t>财政所拨专项经费得到了有效合理利用。</w:t>
            </w:r>
          </w:p>
        </w:tc>
      </w:tr>
      <w:tr>
        <w:tblPrEx>
          <w:tblCellMar>
            <w:top w:w="0" w:type="dxa"/>
            <w:left w:w="0" w:type="dxa"/>
            <w:bottom w:w="0" w:type="dxa"/>
            <w:right w:w="0" w:type="dxa"/>
          </w:tblCellMar>
        </w:tblPrEx>
        <w:trPr>
          <w:trHeight w:val="452" w:hRule="atLeast"/>
        </w:trPr>
        <w:tc>
          <w:tcPr>
            <w:tcW w:w="0" w:type="auto"/>
            <w:gridSpan w:val="6"/>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超标完成和尚未完成的绩效指标与目标值偏差程度</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r>
      <w:tr>
        <w:tblPrEx>
          <w:tblCellMar>
            <w:top w:w="0" w:type="dxa"/>
            <w:left w:w="0" w:type="dxa"/>
            <w:bottom w:w="0" w:type="dxa"/>
            <w:right w:w="0" w:type="dxa"/>
          </w:tblCellMar>
        </w:tblPrEx>
        <w:trPr>
          <w:trHeight w:val="513" w:hRule="atLeast"/>
        </w:trPr>
        <w:tc>
          <w:tcPr>
            <w:tcW w:w="0" w:type="auto"/>
            <w:gridSpan w:val="6"/>
            <w:tcBorders>
              <w:top w:val="single" w:color="000000" w:sz="4" w:space="0"/>
              <w:left w:val="single" w:color="000000" w:sz="4" w:space="0"/>
              <w:bottom w:val="nil"/>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超标完成和尚未完成的绩效指标原因说明</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r>
      <w:tr>
        <w:tblPrEx>
          <w:tblCellMar>
            <w:top w:w="0" w:type="dxa"/>
            <w:left w:w="0" w:type="dxa"/>
            <w:bottom w:w="0" w:type="dxa"/>
            <w:right w:w="0" w:type="dxa"/>
          </w:tblCellMar>
        </w:tblPrEx>
        <w:trPr>
          <w:trHeight w:val="690" w:hRule="atLeast"/>
        </w:trPr>
        <w:tc>
          <w:tcPr>
            <w:tcW w:w="0" w:type="auto"/>
            <w:gridSpan w:val="3"/>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改进措施</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1.对部门预算编制、预算执行与部门决算等的措施</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r>
      <w:tr>
        <w:tblPrEx>
          <w:tblCellMar>
            <w:top w:w="0" w:type="dxa"/>
            <w:left w:w="0" w:type="dxa"/>
            <w:bottom w:w="0" w:type="dxa"/>
            <w:right w:w="0" w:type="dxa"/>
          </w:tblCellMar>
        </w:tblPrEx>
        <w:trPr>
          <w:trHeight w:val="575"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2.对制度完善、人员管理、资产配置等的措施</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r>
      <w:tr>
        <w:trPr>
          <w:trHeight w:val="585" w:hRule="atLeast"/>
        </w:trPr>
        <w:tc>
          <w:tcPr>
            <w:tcW w:w="0" w:type="auto"/>
            <w:gridSpan w:val="3"/>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r>
              <w:rPr>
                <w:rStyle w:val="36"/>
                <w:rFonts w:ascii="仿宋" w:hAnsi="仿宋" w:eastAsia="仿宋" w:cs="Times New Roman"/>
                <w:sz w:val="24"/>
                <w:szCs w:val="24"/>
              </w:rPr>
              <w:t>3.其他措施</w:t>
            </w:r>
          </w:p>
        </w:tc>
        <w:tc>
          <w:tcPr>
            <w:tcW w:w="0" w:type="auto"/>
            <w:gridSpan w:val="5"/>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240" w:lineRule="auto"/>
              <w:textAlignment w:val="center"/>
              <w:rPr>
                <w:rStyle w:val="36"/>
                <w:rFonts w:ascii="仿宋" w:hAnsi="仿宋" w:eastAsia="仿宋" w:cs="Times New Roman"/>
                <w:sz w:val="24"/>
                <w:szCs w:val="24"/>
              </w:rPr>
            </w:pPr>
          </w:p>
        </w:tc>
      </w:tr>
    </w:tbl>
    <w:p>
      <w:pPr>
        <w:spacing w:line="240" w:lineRule="auto"/>
        <w:textAlignment w:val="center"/>
        <w:rPr>
          <w:rStyle w:val="36"/>
          <w:rFonts w:ascii="仿宋" w:hAnsi="仿宋" w:eastAsia="仿宋" w:cs="Times New Roman"/>
          <w:sz w:val="24"/>
          <w:szCs w:val="24"/>
        </w:rPr>
      </w:pPr>
    </w:p>
    <w:sectPr>
      <w:pgSz w:w="16838" w:h="11906" w:orient="landscape"/>
      <w:pgMar w:top="1474" w:right="1985" w:bottom="1588" w:left="209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0BD36D0-1FE2-4018-8936-B98D50696E21}"/>
  </w:font>
  <w:font w:name="黑体">
    <w:panose1 w:val="02010609060101010101"/>
    <w:charset w:val="86"/>
    <w:family w:val="auto"/>
    <w:pitch w:val="default"/>
    <w:sig w:usb0="800002BF" w:usb1="38CF7CFA" w:usb2="00000016" w:usb3="00000000" w:csb0="00040001" w:csb1="00000000"/>
    <w:embedRegular r:id="rId2" w:fontKey="{21361ABB-2694-45D3-A28D-187BCBFEBB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041CB00-A3FA-4C5F-9FD7-54FB80EE58D2}"/>
  </w:font>
  <w:font w:name="Cambria">
    <w:panose1 w:val="02040503050406030204"/>
    <w:charset w:val="00"/>
    <w:family w:val="roman"/>
    <w:pitch w:val="default"/>
    <w:sig w:usb0="E00006FF" w:usb1="420024FF" w:usb2="02000000" w:usb3="00000000" w:csb0="2000019F" w:csb1="00000000"/>
    <w:embedRegular r:id="rId4" w:fontKey="{5DCE9429-D50F-4E4C-B4E9-277F576C9F71}"/>
  </w:font>
  <w:font w:name="仿宋_GB2312">
    <w:panose1 w:val="02010609030101010101"/>
    <w:charset w:val="86"/>
    <w:family w:val="modern"/>
    <w:pitch w:val="default"/>
    <w:sig w:usb0="00000001" w:usb1="080E0000" w:usb2="00000000" w:usb3="00000000" w:csb0="00040000" w:csb1="00000000"/>
    <w:embedRegular r:id="rId5" w:fontKey="{29524A4D-4387-423F-BD51-53713623D5B0}"/>
  </w:font>
  <w:font w:name="楷体">
    <w:panose1 w:val="02010609060101010101"/>
    <w:charset w:val="86"/>
    <w:family w:val="modern"/>
    <w:pitch w:val="default"/>
    <w:sig w:usb0="800002BF" w:usb1="38CF7CFA" w:usb2="00000016" w:usb3="00000000" w:csb0="00040001" w:csb1="00000000"/>
    <w:embedRegular r:id="rId6" w:fontKey="{8797168E-C197-440F-9C29-027173104839}"/>
  </w:font>
  <w:font w:name="仿宋">
    <w:panose1 w:val="02010609060101010101"/>
    <w:charset w:val="86"/>
    <w:family w:val="modern"/>
    <w:pitch w:val="default"/>
    <w:sig w:usb0="800002BF" w:usb1="38CF7CFA" w:usb2="00000016" w:usb3="00000000" w:csb0="00040001" w:csb1="00000000"/>
    <w:embedRegular r:id="rId7" w:fontKey="{1D1403AA-4964-4D6D-B1C2-87AB6826A0AA}"/>
  </w:font>
  <w:font w:name="ArialUnicodeMS">
    <w:altName w:val="Malgun Gothic"/>
    <w:panose1 w:val="00000000000000000000"/>
    <w:charset w:val="81"/>
    <w:family w:val="auto"/>
    <w:pitch w:val="default"/>
    <w:sig w:usb0="00000000" w:usb1="00000000" w:usb2="00000010" w:usb3="00000000" w:csb0="00080001" w:csb1="00000000"/>
    <w:embedRegular r:id="rId8" w:fontKey="{579D2F29-8CB5-44E0-91AC-07D192D766A0}"/>
  </w:font>
  <w:font w:name="MS-UIGothic,Bold">
    <w:altName w:val="Malgun Gothic"/>
    <w:panose1 w:val="00000000000000000000"/>
    <w:charset w:val="81"/>
    <w:family w:val="auto"/>
    <w:pitch w:val="default"/>
    <w:sig w:usb0="00000000" w:usb1="00000000" w:usb2="00000010" w:usb3="00000000" w:csb0="00080000" w:csb1="00000000"/>
    <w:embedRegular r:id="rId9" w:fontKey="{18CEB5D2-7592-423D-A599-C9A4F1C072DE}"/>
  </w:font>
  <w:font w:name="DengXian-Regular">
    <w:altName w:val="宋体"/>
    <w:panose1 w:val="00000000000000000000"/>
    <w:charset w:val="86"/>
    <w:family w:val="auto"/>
    <w:pitch w:val="default"/>
    <w:sig w:usb0="00000000" w:usb1="00000000" w:usb2="00000010" w:usb3="00000000" w:csb0="00040001" w:csb1="00000000"/>
    <w:embedRegular r:id="rId10" w:fontKey="{6F7C6D32-17F4-4E9A-80F0-C42A5A25AE66}"/>
  </w:font>
  <w:font w:name="楷体_GB2312">
    <w:panose1 w:val="02010609030101010101"/>
    <w:charset w:val="86"/>
    <w:family w:val="modern"/>
    <w:pitch w:val="default"/>
    <w:sig w:usb0="00000001" w:usb1="080E0000" w:usb2="00000000" w:usb3="00000000" w:csb0="00040000" w:csb1="00000000"/>
    <w:embedRegular r:id="rId11" w:fontKey="{50E63876-B6E5-4EA5-9BCC-B08A32E7C0E5}"/>
  </w:font>
  <w:font w:name="DengXian-Bold">
    <w:altName w:val="宋体"/>
    <w:panose1 w:val="00000000000000000000"/>
    <w:charset w:val="86"/>
    <w:family w:val="auto"/>
    <w:pitch w:val="default"/>
    <w:sig w:usb0="00000000" w:usb1="00000000" w:usb2="00000010" w:usb3="00000000" w:csb0="00040001" w:csb1="00000000"/>
    <w:embedRegular r:id="rId12" w:fontKey="{D5BABE34-8953-4E13-841F-E2428AEEE970}"/>
  </w:font>
  <w:font w:name="___WRD_EMBED_SUB_39">
    <w:panose1 w:val="02010609030101010101"/>
    <w:charset w:val="86"/>
    <w:family w:val="modern"/>
    <w:pitch w:val="default"/>
    <w:sig w:usb0="00000001" w:usb1="080E0000" w:usb2="00000000" w:usb3="00000000" w:csb0="00040000" w:csb1="00000000"/>
    <w:embedRegular r:id="rId13" w:fontKey="{97BEA904-0B56-4CDF-89AA-3C89A7AEDBBE}"/>
  </w:font>
  <w:font w:name="TimesNewRomanPSMT">
    <w:altName w:val="Arial"/>
    <w:panose1 w:val="00000000000000000000"/>
    <w:charset w:val="00"/>
    <w:family w:val="swiss"/>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embedRegular r:id="rId14" w:fontKey="{E265E5C8-A9F3-4476-9B31-A986CCDEB4E1}"/>
  </w:font>
  <w:font w:name="等线">
    <w:panose1 w:val="02010600030101010101"/>
    <w:charset w:val="86"/>
    <w:family w:val="auto"/>
    <w:pitch w:val="default"/>
    <w:sig w:usb0="A00002BF" w:usb1="38CF7CFA" w:usb2="00000016" w:usb3="00000000" w:csb0="0004000F" w:csb1="00000000"/>
    <w:embedRegular r:id="rId15" w:fontKey="{45F637AA-1373-4A67-8EE5-C10EB2FE40F1}"/>
  </w:font>
  <w:font w:name="Malgun Gothic">
    <w:panose1 w:val="020B0503020000020004"/>
    <w:charset w:val="81"/>
    <w:family w:val="auto"/>
    <w:pitch w:val="default"/>
    <w:sig w:usb0="9000002F" w:usb1="29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abstractNum w:abstractNumId="1">
    <w:nsid w:val="5F222FFA"/>
    <w:multiLevelType w:val="singleLevel"/>
    <w:tmpl w:val="5F222FFA"/>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embedTrueTypeFonts/>
  <w:saveSubsetFonts/>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02C84"/>
    <w:rsid w:val="00017AE1"/>
    <w:rsid w:val="00020FAF"/>
    <w:rsid w:val="00022474"/>
    <w:rsid w:val="00024E7F"/>
    <w:rsid w:val="000252AA"/>
    <w:rsid w:val="00025D6F"/>
    <w:rsid w:val="0004004C"/>
    <w:rsid w:val="00040F30"/>
    <w:rsid w:val="00043012"/>
    <w:rsid w:val="00043BDA"/>
    <w:rsid w:val="000475A0"/>
    <w:rsid w:val="00057D8A"/>
    <w:rsid w:val="00060248"/>
    <w:rsid w:val="00063B14"/>
    <w:rsid w:val="00067693"/>
    <w:rsid w:val="000767A4"/>
    <w:rsid w:val="000838C3"/>
    <w:rsid w:val="0009715F"/>
    <w:rsid w:val="000972A4"/>
    <w:rsid w:val="000A4C4B"/>
    <w:rsid w:val="000A6FB5"/>
    <w:rsid w:val="000B2446"/>
    <w:rsid w:val="000B2BD2"/>
    <w:rsid w:val="000B2EC2"/>
    <w:rsid w:val="000C5C04"/>
    <w:rsid w:val="000D1E54"/>
    <w:rsid w:val="000D636D"/>
    <w:rsid w:val="000D7C65"/>
    <w:rsid w:val="000E2F81"/>
    <w:rsid w:val="000E6C9A"/>
    <w:rsid w:val="000F3669"/>
    <w:rsid w:val="00101F8D"/>
    <w:rsid w:val="00111D4E"/>
    <w:rsid w:val="00115FE9"/>
    <w:rsid w:val="00117946"/>
    <w:rsid w:val="00117E2C"/>
    <w:rsid w:val="00125344"/>
    <w:rsid w:val="001356F2"/>
    <w:rsid w:val="001469D1"/>
    <w:rsid w:val="00146C47"/>
    <w:rsid w:val="00152FB8"/>
    <w:rsid w:val="00154CB0"/>
    <w:rsid w:val="00156094"/>
    <w:rsid w:val="00157A32"/>
    <w:rsid w:val="001677D2"/>
    <w:rsid w:val="0017206D"/>
    <w:rsid w:val="001720E8"/>
    <w:rsid w:val="00176658"/>
    <w:rsid w:val="0018021D"/>
    <w:rsid w:val="00180D99"/>
    <w:rsid w:val="0018239E"/>
    <w:rsid w:val="00182478"/>
    <w:rsid w:val="00185DDD"/>
    <w:rsid w:val="00187009"/>
    <w:rsid w:val="001A6960"/>
    <w:rsid w:val="001B0B99"/>
    <w:rsid w:val="001B3410"/>
    <w:rsid w:val="001B3621"/>
    <w:rsid w:val="001B6351"/>
    <w:rsid w:val="001B7503"/>
    <w:rsid w:val="001B7C9E"/>
    <w:rsid w:val="001C030D"/>
    <w:rsid w:val="001C06B8"/>
    <w:rsid w:val="001C4A84"/>
    <w:rsid w:val="001C4EFE"/>
    <w:rsid w:val="001D6DC0"/>
    <w:rsid w:val="001E3756"/>
    <w:rsid w:val="001E5902"/>
    <w:rsid w:val="002001AE"/>
    <w:rsid w:val="00215E89"/>
    <w:rsid w:val="002176DA"/>
    <w:rsid w:val="00217AD3"/>
    <w:rsid w:val="00217DFE"/>
    <w:rsid w:val="00221EFC"/>
    <w:rsid w:val="00225831"/>
    <w:rsid w:val="00227D9E"/>
    <w:rsid w:val="00227EB1"/>
    <w:rsid w:val="00233705"/>
    <w:rsid w:val="002346BA"/>
    <w:rsid w:val="00243FB2"/>
    <w:rsid w:val="002453C0"/>
    <w:rsid w:val="00246D99"/>
    <w:rsid w:val="00252185"/>
    <w:rsid w:val="00257266"/>
    <w:rsid w:val="00262306"/>
    <w:rsid w:val="002647DD"/>
    <w:rsid w:val="00275CA2"/>
    <w:rsid w:val="00276815"/>
    <w:rsid w:val="00285AFE"/>
    <w:rsid w:val="00293E2B"/>
    <w:rsid w:val="002A22E0"/>
    <w:rsid w:val="002A65A5"/>
    <w:rsid w:val="002C04C4"/>
    <w:rsid w:val="002C0FB7"/>
    <w:rsid w:val="002D08B0"/>
    <w:rsid w:val="002D1AE3"/>
    <w:rsid w:val="002D4B7A"/>
    <w:rsid w:val="002D727E"/>
    <w:rsid w:val="002E1089"/>
    <w:rsid w:val="002F2ECE"/>
    <w:rsid w:val="00306F5E"/>
    <w:rsid w:val="0031420A"/>
    <w:rsid w:val="00314AF1"/>
    <w:rsid w:val="00317067"/>
    <w:rsid w:val="00341C8F"/>
    <w:rsid w:val="00350C6C"/>
    <w:rsid w:val="0035210F"/>
    <w:rsid w:val="0035463A"/>
    <w:rsid w:val="003754BA"/>
    <w:rsid w:val="003814FB"/>
    <w:rsid w:val="00385581"/>
    <w:rsid w:val="0038690A"/>
    <w:rsid w:val="003877D7"/>
    <w:rsid w:val="00391D9D"/>
    <w:rsid w:val="003A767B"/>
    <w:rsid w:val="003B4A82"/>
    <w:rsid w:val="003B6C51"/>
    <w:rsid w:val="003C1413"/>
    <w:rsid w:val="003C429D"/>
    <w:rsid w:val="003C549F"/>
    <w:rsid w:val="003C6154"/>
    <w:rsid w:val="003D5A16"/>
    <w:rsid w:val="003D61D1"/>
    <w:rsid w:val="003E3CB3"/>
    <w:rsid w:val="003E7DB3"/>
    <w:rsid w:val="0040016C"/>
    <w:rsid w:val="004009CE"/>
    <w:rsid w:val="0040192C"/>
    <w:rsid w:val="00404BC1"/>
    <w:rsid w:val="00404DF0"/>
    <w:rsid w:val="0041347D"/>
    <w:rsid w:val="00417579"/>
    <w:rsid w:val="00425BBE"/>
    <w:rsid w:val="00425E76"/>
    <w:rsid w:val="00430C78"/>
    <w:rsid w:val="00431175"/>
    <w:rsid w:val="004374A3"/>
    <w:rsid w:val="00440DE6"/>
    <w:rsid w:val="00445F8F"/>
    <w:rsid w:val="00454A08"/>
    <w:rsid w:val="00454A61"/>
    <w:rsid w:val="00465D26"/>
    <w:rsid w:val="004720F7"/>
    <w:rsid w:val="0047691F"/>
    <w:rsid w:val="00476A86"/>
    <w:rsid w:val="004848C3"/>
    <w:rsid w:val="00490A3A"/>
    <w:rsid w:val="00491A21"/>
    <w:rsid w:val="00493686"/>
    <w:rsid w:val="00496772"/>
    <w:rsid w:val="004A3706"/>
    <w:rsid w:val="004A785E"/>
    <w:rsid w:val="004B11B9"/>
    <w:rsid w:val="004B6E37"/>
    <w:rsid w:val="004C32BA"/>
    <w:rsid w:val="004C4C7B"/>
    <w:rsid w:val="004C68EF"/>
    <w:rsid w:val="004D3087"/>
    <w:rsid w:val="004F36F2"/>
    <w:rsid w:val="00511B64"/>
    <w:rsid w:val="00515501"/>
    <w:rsid w:val="005274F1"/>
    <w:rsid w:val="005305EB"/>
    <w:rsid w:val="0053270A"/>
    <w:rsid w:val="00533EF1"/>
    <w:rsid w:val="00540BD7"/>
    <w:rsid w:val="0055149A"/>
    <w:rsid w:val="00557356"/>
    <w:rsid w:val="00575922"/>
    <w:rsid w:val="00576271"/>
    <w:rsid w:val="00577C43"/>
    <w:rsid w:val="00584415"/>
    <w:rsid w:val="005904D9"/>
    <w:rsid w:val="005917DF"/>
    <w:rsid w:val="005919D7"/>
    <w:rsid w:val="0059630C"/>
    <w:rsid w:val="005A1E07"/>
    <w:rsid w:val="005A3C0D"/>
    <w:rsid w:val="005A6431"/>
    <w:rsid w:val="005A6C90"/>
    <w:rsid w:val="005B37E6"/>
    <w:rsid w:val="005C1626"/>
    <w:rsid w:val="005D0540"/>
    <w:rsid w:val="005D06B2"/>
    <w:rsid w:val="005D632B"/>
    <w:rsid w:val="005E3FB0"/>
    <w:rsid w:val="005F4B66"/>
    <w:rsid w:val="005F5208"/>
    <w:rsid w:val="005F6B01"/>
    <w:rsid w:val="005F6BCF"/>
    <w:rsid w:val="00604EF9"/>
    <w:rsid w:val="00615B32"/>
    <w:rsid w:val="00615C31"/>
    <w:rsid w:val="00617DE7"/>
    <w:rsid w:val="00627E1F"/>
    <w:rsid w:val="00641318"/>
    <w:rsid w:val="0064405D"/>
    <w:rsid w:val="006528A9"/>
    <w:rsid w:val="006547E6"/>
    <w:rsid w:val="00660905"/>
    <w:rsid w:val="006625C7"/>
    <w:rsid w:val="00666CD1"/>
    <w:rsid w:val="00670CE4"/>
    <w:rsid w:val="00671EF5"/>
    <w:rsid w:val="0068454B"/>
    <w:rsid w:val="00695557"/>
    <w:rsid w:val="0069690C"/>
    <w:rsid w:val="006A41BC"/>
    <w:rsid w:val="006A541A"/>
    <w:rsid w:val="006A7A2E"/>
    <w:rsid w:val="006B24DD"/>
    <w:rsid w:val="006D4EA7"/>
    <w:rsid w:val="006D6AB5"/>
    <w:rsid w:val="006E1A6D"/>
    <w:rsid w:val="006E7CCC"/>
    <w:rsid w:val="006F5B70"/>
    <w:rsid w:val="0070012A"/>
    <w:rsid w:val="0070664B"/>
    <w:rsid w:val="007071B8"/>
    <w:rsid w:val="00707EB6"/>
    <w:rsid w:val="007125A1"/>
    <w:rsid w:val="007155C2"/>
    <w:rsid w:val="00717F56"/>
    <w:rsid w:val="0072030A"/>
    <w:rsid w:val="00727781"/>
    <w:rsid w:val="00730EAE"/>
    <w:rsid w:val="00740481"/>
    <w:rsid w:val="007414DE"/>
    <w:rsid w:val="00751838"/>
    <w:rsid w:val="00751F08"/>
    <w:rsid w:val="0075546F"/>
    <w:rsid w:val="00755B9C"/>
    <w:rsid w:val="00760C0C"/>
    <w:rsid w:val="00766312"/>
    <w:rsid w:val="00767281"/>
    <w:rsid w:val="00767B28"/>
    <w:rsid w:val="007819CE"/>
    <w:rsid w:val="007905A9"/>
    <w:rsid w:val="007A7C7D"/>
    <w:rsid w:val="007B0EE6"/>
    <w:rsid w:val="007C1050"/>
    <w:rsid w:val="007C705E"/>
    <w:rsid w:val="007D0BCC"/>
    <w:rsid w:val="007D7115"/>
    <w:rsid w:val="007E072B"/>
    <w:rsid w:val="007E0792"/>
    <w:rsid w:val="007E5500"/>
    <w:rsid w:val="007F055B"/>
    <w:rsid w:val="007F5881"/>
    <w:rsid w:val="007F726E"/>
    <w:rsid w:val="00800500"/>
    <w:rsid w:val="0080224A"/>
    <w:rsid w:val="00802F88"/>
    <w:rsid w:val="00811C2F"/>
    <w:rsid w:val="00824BF5"/>
    <w:rsid w:val="00831021"/>
    <w:rsid w:val="00833D46"/>
    <w:rsid w:val="00836215"/>
    <w:rsid w:val="00840A97"/>
    <w:rsid w:val="00855F5B"/>
    <w:rsid w:val="00872B02"/>
    <w:rsid w:val="00873292"/>
    <w:rsid w:val="0088051C"/>
    <w:rsid w:val="00880B90"/>
    <w:rsid w:val="00880F38"/>
    <w:rsid w:val="008834F5"/>
    <w:rsid w:val="0089324E"/>
    <w:rsid w:val="00897105"/>
    <w:rsid w:val="008A5DCE"/>
    <w:rsid w:val="008A640A"/>
    <w:rsid w:val="008B4606"/>
    <w:rsid w:val="008B598D"/>
    <w:rsid w:val="008C0149"/>
    <w:rsid w:val="008D13F3"/>
    <w:rsid w:val="008D24BC"/>
    <w:rsid w:val="008D3DD4"/>
    <w:rsid w:val="008D5CFD"/>
    <w:rsid w:val="008D5DED"/>
    <w:rsid w:val="008E15BB"/>
    <w:rsid w:val="008E25CA"/>
    <w:rsid w:val="008E27E0"/>
    <w:rsid w:val="008F2836"/>
    <w:rsid w:val="008F34FC"/>
    <w:rsid w:val="009052C4"/>
    <w:rsid w:val="00906DA0"/>
    <w:rsid w:val="009114E0"/>
    <w:rsid w:val="00921B67"/>
    <w:rsid w:val="00932D7D"/>
    <w:rsid w:val="0093432C"/>
    <w:rsid w:val="00934B40"/>
    <w:rsid w:val="009423F7"/>
    <w:rsid w:val="00942CB4"/>
    <w:rsid w:val="00944CD7"/>
    <w:rsid w:val="0094572C"/>
    <w:rsid w:val="00961190"/>
    <w:rsid w:val="00961DE2"/>
    <w:rsid w:val="00963055"/>
    <w:rsid w:val="00964B8B"/>
    <w:rsid w:val="00970753"/>
    <w:rsid w:val="0097593C"/>
    <w:rsid w:val="009831B2"/>
    <w:rsid w:val="00994920"/>
    <w:rsid w:val="009A1ABE"/>
    <w:rsid w:val="009B054D"/>
    <w:rsid w:val="009D4BE8"/>
    <w:rsid w:val="009D69EA"/>
    <w:rsid w:val="009D712F"/>
    <w:rsid w:val="009E113A"/>
    <w:rsid w:val="009E21A4"/>
    <w:rsid w:val="009F22C6"/>
    <w:rsid w:val="009F4CF5"/>
    <w:rsid w:val="00A07E50"/>
    <w:rsid w:val="00A12C15"/>
    <w:rsid w:val="00A15397"/>
    <w:rsid w:val="00A25B88"/>
    <w:rsid w:val="00A335CE"/>
    <w:rsid w:val="00A337CE"/>
    <w:rsid w:val="00A35CE0"/>
    <w:rsid w:val="00A42BDE"/>
    <w:rsid w:val="00A4462E"/>
    <w:rsid w:val="00A44AA4"/>
    <w:rsid w:val="00A450B2"/>
    <w:rsid w:val="00A52DB6"/>
    <w:rsid w:val="00A540AC"/>
    <w:rsid w:val="00A61623"/>
    <w:rsid w:val="00A649A0"/>
    <w:rsid w:val="00A83DD5"/>
    <w:rsid w:val="00A84687"/>
    <w:rsid w:val="00A948DD"/>
    <w:rsid w:val="00A95C30"/>
    <w:rsid w:val="00AA0458"/>
    <w:rsid w:val="00AA18BA"/>
    <w:rsid w:val="00AA2CB0"/>
    <w:rsid w:val="00AB05C7"/>
    <w:rsid w:val="00AB0A0E"/>
    <w:rsid w:val="00AB2528"/>
    <w:rsid w:val="00AB26A3"/>
    <w:rsid w:val="00AB7895"/>
    <w:rsid w:val="00AC5D49"/>
    <w:rsid w:val="00AD3B6E"/>
    <w:rsid w:val="00AD568B"/>
    <w:rsid w:val="00AD69A6"/>
    <w:rsid w:val="00AE08B5"/>
    <w:rsid w:val="00AE182B"/>
    <w:rsid w:val="00AE7486"/>
    <w:rsid w:val="00AE7712"/>
    <w:rsid w:val="00AF27C0"/>
    <w:rsid w:val="00AF3A9D"/>
    <w:rsid w:val="00AF6D31"/>
    <w:rsid w:val="00AF797B"/>
    <w:rsid w:val="00B031D4"/>
    <w:rsid w:val="00B1751F"/>
    <w:rsid w:val="00B2187B"/>
    <w:rsid w:val="00B22377"/>
    <w:rsid w:val="00B25D83"/>
    <w:rsid w:val="00B3243E"/>
    <w:rsid w:val="00B36B81"/>
    <w:rsid w:val="00B451CE"/>
    <w:rsid w:val="00B47D84"/>
    <w:rsid w:val="00B50F96"/>
    <w:rsid w:val="00B5394A"/>
    <w:rsid w:val="00B53A94"/>
    <w:rsid w:val="00B55BF6"/>
    <w:rsid w:val="00B56722"/>
    <w:rsid w:val="00B56D87"/>
    <w:rsid w:val="00B57AAC"/>
    <w:rsid w:val="00B65ADF"/>
    <w:rsid w:val="00B67044"/>
    <w:rsid w:val="00B74D39"/>
    <w:rsid w:val="00B76AE5"/>
    <w:rsid w:val="00B8036C"/>
    <w:rsid w:val="00B827C6"/>
    <w:rsid w:val="00B91DA4"/>
    <w:rsid w:val="00B96527"/>
    <w:rsid w:val="00B97019"/>
    <w:rsid w:val="00BA3A5C"/>
    <w:rsid w:val="00BA7174"/>
    <w:rsid w:val="00BB5AC2"/>
    <w:rsid w:val="00BB6ADC"/>
    <w:rsid w:val="00BD651C"/>
    <w:rsid w:val="00BE2E32"/>
    <w:rsid w:val="00BF3AAF"/>
    <w:rsid w:val="00BF79F0"/>
    <w:rsid w:val="00C01962"/>
    <w:rsid w:val="00C05486"/>
    <w:rsid w:val="00C1004F"/>
    <w:rsid w:val="00C115C3"/>
    <w:rsid w:val="00C12630"/>
    <w:rsid w:val="00C26234"/>
    <w:rsid w:val="00C34562"/>
    <w:rsid w:val="00C36397"/>
    <w:rsid w:val="00C36E87"/>
    <w:rsid w:val="00C3774E"/>
    <w:rsid w:val="00C43B68"/>
    <w:rsid w:val="00C57456"/>
    <w:rsid w:val="00C65387"/>
    <w:rsid w:val="00C724E5"/>
    <w:rsid w:val="00C74F75"/>
    <w:rsid w:val="00C802E1"/>
    <w:rsid w:val="00C812DB"/>
    <w:rsid w:val="00C83332"/>
    <w:rsid w:val="00C87FAB"/>
    <w:rsid w:val="00C91FF7"/>
    <w:rsid w:val="00C92D15"/>
    <w:rsid w:val="00C94E53"/>
    <w:rsid w:val="00C95A80"/>
    <w:rsid w:val="00CA12BE"/>
    <w:rsid w:val="00CA5134"/>
    <w:rsid w:val="00CA586C"/>
    <w:rsid w:val="00CD2B3F"/>
    <w:rsid w:val="00CD3396"/>
    <w:rsid w:val="00CE2CB8"/>
    <w:rsid w:val="00CE3FC3"/>
    <w:rsid w:val="00CF3CE2"/>
    <w:rsid w:val="00D0048E"/>
    <w:rsid w:val="00D103F0"/>
    <w:rsid w:val="00D20455"/>
    <w:rsid w:val="00D23E7A"/>
    <w:rsid w:val="00D2608C"/>
    <w:rsid w:val="00D34839"/>
    <w:rsid w:val="00D36F48"/>
    <w:rsid w:val="00D479E8"/>
    <w:rsid w:val="00D52101"/>
    <w:rsid w:val="00D56D8F"/>
    <w:rsid w:val="00D61063"/>
    <w:rsid w:val="00D641AF"/>
    <w:rsid w:val="00D66920"/>
    <w:rsid w:val="00D82F2C"/>
    <w:rsid w:val="00D83DC0"/>
    <w:rsid w:val="00D85637"/>
    <w:rsid w:val="00D86C83"/>
    <w:rsid w:val="00DB35AF"/>
    <w:rsid w:val="00DB5F95"/>
    <w:rsid w:val="00DC16B9"/>
    <w:rsid w:val="00DC4877"/>
    <w:rsid w:val="00DC7736"/>
    <w:rsid w:val="00DD181E"/>
    <w:rsid w:val="00DD5E00"/>
    <w:rsid w:val="00DD72D7"/>
    <w:rsid w:val="00DE0586"/>
    <w:rsid w:val="00DE242C"/>
    <w:rsid w:val="00DE50BC"/>
    <w:rsid w:val="00DF51E9"/>
    <w:rsid w:val="00DF5B88"/>
    <w:rsid w:val="00E01D03"/>
    <w:rsid w:val="00E0589E"/>
    <w:rsid w:val="00E05D8D"/>
    <w:rsid w:val="00E0697F"/>
    <w:rsid w:val="00E14169"/>
    <w:rsid w:val="00E2030E"/>
    <w:rsid w:val="00E23C85"/>
    <w:rsid w:val="00E241FA"/>
    <w:rsid w:val="00E2595E"/>
    <w:rsid w:val="00E259A7"/>
    <w:rsid w:val="00E25DC8"/>
    <w:rsid w:val="00E35374"/>
    <w:rsid w:val="00E5028C"/>
    <w:rsid w:val="00E50C19"/>
    <w:rsid w:val="00E51283"/>
    <w:rsid w:val="00E57C50"/>
    <w:rsid w:val="00E64655"/>
    <w:rsid w:val="00E646CA"/>
    <w:rsid w:val="00E650A9"/>
    <w:rsid w:val="00E6757A"/>
    <w:rsid w:val="00E71E15"/>
    <w:rsid w:val="00E71F6F"/>
    <w:rsid w:val="00E72B8D"/>
    <w:rsid w:val="00E73081"/>
    <w:rsid w:val="00E83203"/>
    <w:rsid w:val="00E856C9"/>
    <w:rsid w:val="00E86ACA"/>
    <w:rsid w:val="00E928DF"/>
    <w:rsid w:val="00EA4F68"/>
    <w:rsid w:val="00EB4BA7"/>
    <w:rsid w:val="00EB5453"/>
    <w:rsid w:val="00EB6567"/>
    <w:rsid w:val="00EB6A8B"/>
    <w:rsid w:val="00EC0F0D"/>
    <w:rsid w:val="00EC2DD7"/>
    <w:rsid w:val="00EC4486"/>
    <w:rsid w:val="00EC49FE"/>
    <w:rsid w:val="00EC6814"/>
    <w:rsid w:val="00ED2654"/>
    <w:rsid w:val="00ED411D"/>
    <w:rsid w:val="00EE1C90"/>
    <w:rsid w:val="00EE61BC"/>
    <w:rsid w:val="00EF38C6"/>
    <w:rsid w:val="00EF5A61"/>
    <w:rsid w:val="00F017DF"/>
    <w:rsid w:val="00F067AF"/>
    <w:rsid w:val="00F06A0C"/>
    <w:rsid w:val="00F1470E"/>
    <w:rsid w:val="00F16816"/>
    <w:rsid w:val="00F20D72"/>
    <w:rsid w:val="00F25423"/>
    <w:rsid w:val="00F2621B"/>
    <w:rsid w:val="00F31E39"/>
    <w:rsid w:val="00F33932"/>
    <w:rsid w:val="00F358D3"/>
    <w:rsid w:val="00F425FF"/>
    <w:rsid w:val="00F52439"/>
    <w:rsid w:val="00F679C7"/>
    <w:rsid w:val="00F733BF"/>
    <w:rsid w:val="00F75E4C"/>
    <w:rsid w:val="00F7711A"/>
    <w:rsid w:val="00F80C72"/>
    <w:rsid w:val="00F8173B"/>
    <w:rsid w:val="00FA0D58"/>
    <w:rsid w:val="00FA1580"/>
    <w:rsid w:val="00FA56F4"/>
    <w:rsid w:val="00FA5DF2"/>
    <w:rsid w:val="00FB4EDA"/>
    <w:rsid w:val="00FC62DF"/>
    <w:rsid w:val="00FD3BD5"/>
    <w:rsid w:val="00FD4886"/>
    <w:rsid w:val="00FD7625"/>
    <w:rsid w:val="00FD7F87"/>
    <w:rsid w:val="00FE3DC8"/>
    <w:rsid w:val="00FE7905"/>
    <w:rsid w:val="04073F84"/>
    <w:rsid w:val="0B60750A"/>
    <w:rsid w:val="10686488"/>
    <w:rsid w:val="10DF728A"/>
    <w:rsid w:val="1264200E"/>
    <w:rsid w:val="141C5B77"/>
    <w:rsid w:val="18D8339D"/>
    <w:rsid w:val="1A21388F"/>
    <w:rsid w:val="1A570D2F"/>
    <w:rsid w:val="28FB0B8D"/>
    <w:rsid w:val="2D2B7942"/>
    <w:rsid w:val="2D46481D"/>
    <w:rsid w:val="2E733B28"/>
    <w:rsid w:val="31852B5A"/>
    <w:rsid w:val="31C20D2A"/>
    <w:rsid w:val="32D01238"/>
    <w:rsid w:val="3DFC59A8"/>
    <w:rsid w:val="3ECF245E"/>
    <w:rsid w:val="3FB96314"/>
    <w:rsid w:val="53A44FAF"/>
    <w:rsid w:val="55281268"/>
    <w:rsid w:val="594329EC"/>
    <w:rsid w:val="5BEE1540"/>
    <w:rsid w:val="5DE61A5D"/>
    <w:rsid w:val="63C04243"/>
    <w:rsid w:val="649C01C7"/>
    <w:rsid w:val="699A3F60"/>
    <w:rsid w:val="72902E62"/>
    <w:rsid w:val="73C61104"/>
    <w:rsid w:val="776452EA"/>
    <w:rsid w:val="7DC663B9"/>
    <w:rsid w:val="7FD2103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31"/>
    <w:semiHidden/>
    <w:unhideWhenUsed/>
    <w:qFormat/>
    <w:uiPriority w:val="99"/>
    <w:pPr>
      <w:ind w:left="100" w:leftChars="2500"/>
    </w:pPr>
  </w:style>
  <w:style w:type="paragraph" w:styleId="7">
    <w:name w:val="Balloon Text"/>
    <w:basedOn w:val="1"/>
    <w:link w:val="19"/>
    <w:semiHidden/>
    <w:unhideWhenUsed/>
    <w:qFormat/>
    <w:uiPriority w:val="99"/>
    <w:rPr>
      <w:sz w:val="18"/>
      <w:szCs w:val="18"/>
    </w:rPr>
  </w:style>
  <w:style w:type="paragraph" w:styleId="8">
    <w:name w:val="footer"/>
    <w:basedOn w:val="1"/>
    <w:link w:val="16"/>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14:textFill>
        <w14:solidFill>
          <w14:schemeClr w14:val="accent1"/>
        </w14:solidFill>
      </w14:textFill>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B2C24" w:themeColor="text2" w:themeShade="BF"/>
      <w:spacing w:val="5"/>
      <w:kern w:val="28"/>
      <w:sz w:val="52"/>
      <w:szCs w:val="52"/>
    </w:rPr>
  </w:style>
  <w:style w:type="table" w:styleId="13">
    <w:name w:val="Table Grid"/>
    <w:basedOn w:val="12"/>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qFormat/>
    <w:uiPriority w:val="99"/>
    <w:rPr>
      <w:sz w:val="18"/>
      <w:szCs w:val="18"/>
    </w:rPr>
  </w:style>
  <w:style w:type="character" w:customStyle="1" w:styleId="16">
    <w:name w:val="页脚 Char"/>
    <w:basedOn w:val="14"/>
    <w:link w:val="8"/>
    <w:qFormat/>
    <w:uiPriority w:val="99"/>
    <w:rPr>
      <w:sz w:val="18"/>
      <w:szCs w:val="18"/>
    </w:rPr>
  </w:style>
  <w:style w:type="paragraph" w:styleId="17">
    <w:name w:val="No Spacing"/>
    <w:link w:val="18"/>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qFormat/>
    <w:uiPriority w:val="1"/>
    <w:rPr>
      <w:kern w:val="0"/>
      <w:sz w:val="22"/>
    </w:rPr>
  </w:style>
  <w:style w:type="character" w:customStyle="1" w:styleId="19">
    <w:name w:val="批注框文本 Char"/>
    <w:basedOn w:val="14"/>
    <w:link w:val="7"/>
    <w:semiHidden/>
    <w:qFormat/>
    <w:uiPriority w:val="99"/>
    <w:rPr>
      <w:rFonts w:ascii="Times New Roman" w:hAnsi="Times New Roman" w:eastAsia="宋体" w:cs="Times New Roman"/>
      <w:sz w:val="18"/>
      <w:szCs w:val="18"/>
    </w:rPr>
  </w:style>
  <w:style w:type="character" w:customStyle="1" w:styleId="20">
    <w:name w:val="标题 Char"/>
    <w:basedOn w:val="14"/>
    <w:link w:val="11"/>
    <w:qFormat/>
    <w:uiPriority w:val="10"/>
    <w:rPr>
      <w:rFonts w:asciiTheme="majorHAnsi" w:hAnsiTheme="majorHAnsi" w:eastAsiaTheme="majorEastAsia" w:cstheme="majorBidi"/>
      <w:color w:val="3B2C24" w:themeColor="text2" w:themeShade="BF"/>
      <w:spacing w:val="5"/>
      <w:kern w:val="28"/>
      <w:sz w:val="52"/>
      <w:szCs w:val="52"/>
    </w:rPr>
  </w:style>
  <w:style w:type="character" w:customStyle="1" w:styleId="21">
    <w:name w:val="副标题 Char"/>
    <w:basedOn w:val="14"/>
    <w:link w:val="10"/>
    <w:qFormat/>
    <w:uiPriority w:val="11"/>
    <w:rPr>
      <w:rFonts w:asciiTheme="majorHAnsi" w:hAnsiTheme="majorHAnsi" w:eastAsiaTheme="majorEastAsia" w:cstheme="majorBidi"/>
      <w:i/>
      <w:iCs/>
      <w:color w:val="F0A22E" w:themeColor="accent1"/>
      <w:spacing w:val="15"/>
      <w:kern w:val="0"/>
      <w:sz w:val="24"/>
      <w:szCs w:val="24"/>
      <w14:textFill>
        <w14:solidFill>
          <w14:schemeClr w14:val="accent1"/>
        </w14:solidFill>
      </w14:textFill>
    </w:rPr>
  </w:style>
  <w:style w:type="character" w:customStyle="1" w:styleId="22">
    <w:name w:val="Style1"/>
    <w:basedOn w:val="14"/>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qFormat/>
    <w:uiPriority w:val="1"/>
    <w:rPr>
      <w:rFonts w:asciiTheme="minorHAnsi" w:hAnsiTheme="minorEastAsia" w:eastAsiaTheme="minorEastAsia" w:cstheme="minorBidi"/>
      <w:szCs w:val="22"/>
      <w:lang w:eastAsia="zh-CN"/>
    </w:rPr>
  </w:style>
  <w:style w:type="character" w:customStyle="1" w:styleId="26">
    <w:name w:val="Style5"/>
    <w:basedOn w:val="14"/>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qFormat/>
    <w:uiPriority w:val="9"/>
    <w:rPr>
      <w:rFonts w:asciiTheme="majorHAnsi" w:hAnsiTheme="majorHAnsi" w:eastAsiaTheme="majorEastAsia" w:cstheme="majorBidi"/>
      <w:b/>
      <w:bCs/>
      <w:sz w:val="32"/>
      <w:szCs w:val="32"/>
    </w:rPr>
  </w:style>
  <w:style w:type="character" w:customStyle="1" w:styleId="29">
    <w:name w:val="标题 3 Char"/>
    <w:basedOn w:val="14"/>
    <w:link w:val="4"/>
    <w:qFormat/>
    <w:uiPriority w:val="9"/>
    <w:rPr>
      <w:rFonts w:ascii="Times New Roman" w:hAnsi="Times New Roman" w:eastAsia="宋体" w:cs="Times New Roman"/>
      <w:b/>
      <w:bCs/>
      <w:sz w:val="32"/>
      <w:szCs w:val="32"/>
    </w:rPr>
  </w:style>
  <w:style w:type="character" w:customStyle="1" w:styleId="30">
    <w:name w:val="标题 4 Char"/>
    <w:basedOn w:val="14"/>
    <w:link w:val="5"/>
    <w:qFormat/>
    <w:uiPriority w:val="9"/>
    <w:rPr>
      <w:rFonts w:asciiTheme="majorHAnsi" w:hAnsiTheme="majorHAnsi" w:eastAsiaTheme="majorEastAsia" w:cstheme="majorBidi"/>
      <w:b/>
      <w:bCs/>
      <w:sz w:val="28"/>
      <w:szCs w:val="28"/>
    </w:rPr>
  </w:style>
  <w:style w:type="character" w:customStyle="1" w:styleId="31">
    <w:name w:val="日期 Char"/>
    <w:basedOn w:val="14"/>
    <w:link w:val="6"/>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 w:type="paragraph" w:customStyle="1" w:styleId="33">
    <w:name w:val="无间隔1"/>
    <w:qFormat/>
    <w:uiPriority w:val="1"/>
    <w:pPr>
      <w:spacing w:after="160" w:line="480" w:lineRule="auto"/>
    </w:pPr>
    <w:rPr>
      <w:rFonts w:ascii="Cambria" w:hAnsi="Cambria" w:eastAsia="黑体" w:cs="黑体"/>
      <w:sz w:val="22"/>
      <w:szCs w:val="22"/>
      <w:lang w:val="en-US" w:eastAsia="zh-CN" w:bidi="ar-SA"/>
    </w:rPr>
  </w:style>
  <w:style w:type="paragraph" w:customStyle="1" w:styleId="34">
    <w:name w:val="列出段落1"/>
    <w:basedOn w:val="1"/>
    <w:unhideWhenUsed/>
    <w:qFormat/>
    <w:uiPriority w:val="99"/>
    <w:pPr>
      <w:ind w:firstLine="420" w:firstLineChars="200"/>
    </w:pPr>
  </w:style>
  <w:style w:type="character" w:customStyle="1" w:styleId="35">
    <w:name w:val="font11"/>
    <w:qFormat/>
    <w:uiPriority w:val="0"/>
    <w:rPr>
      <w:rFonts w:ascii="仿宋_GB2312" w:eastAsia="仿宋_GB2312" w:cs="仿宋_GB2312"/>
      <w:color w:val="000000"/>
      <w:sz w:val="18"/>
      <w:szCs w:val="18"/>
      <w:u w:val="none"/>
      <w:lang w:bidi="ar-SA"/>
    </w:rPr>
  </w:style>
  <w:style w:type="character" w:customStyle="1" w:styleId="36">
    <w:name w:val="font171"/>
    <w:basedOn w:val="14"/>
    <w:qFormat/>
    <w:uiPriority w:val="0"/>
    <w:rPr>
      <w:rFonts w:ascii="仿宋_GB2312" w:eastAsia="仿宋_GB2312" w:cs="仿宋_GB2312"/>
      <w:color w:val="000000"/>
      <w:sz w:val="18"/>
      <w:szCs w:val="18"/>
      <w:u w:val="none"/>
    </w:rPr>
  </w:style>
  <w:style w:type="character" w:customStyle="1" w:styleId="37">
    <w:name w:val="font51"/>
    <w:basedOn w:val="14"/>
    <w:qFormat/>
    <w:uiPriority w:val="0"/>
    <w:rPr>
      <w:rFonts w:ascii="Times New Roman" w:hAnsi="Times New Roman" w:cs="Times New Roman"/>
      <w:color w:val="000000"/>
      <w:sz w:val="18"/>
      <w:szCs w:val="18"/>
      <w:u w:val="none"/>
    </w:rPr>
  </w:style>
  <w:style w:type="character" w:customStyle="1" w:styleId="38">
    <w:name w:val="font161"/>
    <w:basedOn w:val="14"/>
    <w:qFormat/>
    <w:uiPriority w:val="0"/>
    <w:rPr>
      <w:rFonts w:ascii="宋体" w:eastAsia="宋体" w:cs="宋体"/>
      <w:color w:val="000000"/>
      <w:sz w:val="18"/>
      <w:szCs w:val="18"/>
      <w:u w:val="none"/>
    </w:rPr>
  </w:style>
  <w:style w:type="character" w:customStyle="1" w:styleId="39">
    <w:name w:val="font121"/>
    <w:basedOn w:val="14"/>
    <w:qFormat/>
    <w:uiPriority w:val="0"/>
    <w:rPr>
      <w:rFonts w:ascii="Times New Roman" w:hAnsi="Times New Roman" w:cs="Times New Roman"/>
      <w:color w:val="000000"/>
      <w:sz w:val="20"/>
      <w:szCs w:val="20"/>
      <w:u w:val="none"/>
    </w:rPr>
  </w:style>
  <w:style w:type="character" w:customStyle="1" w:styleId="40">
    <w:name w:val="font131"/>
    <w:basedOn w:val="14"/>
    <w:qFormat/>
    <w:uiPriority w:val="0"/>
    <w:rPr>
      <w:rFonts w:ascii="宋体" w:eastAsia="宋体" w:cs="宋体"/>
      <w:color w:val="000000"/>
      <w:sz w:val="20"/>
      <w:szCs w:val="20"/>
      <w:u w:val="none"/>
    </w:rPr>
  </w:style>
  <w:style w:type="character" w:customStyle="1" w:styleId="41">
    <w:name w:val="font41"/>
    <w:basedOn w:val="14"/>
    <w:qFormat/>
    <w:uiPriority w:val="0"/>
    <w:rPr>
      <w:rFonts w:hint="default" w:ascii="Times New Roman" w:hAnsi="Times New Roman" w:cs="Times New Roman"/>
      <w:color w:val="000000"/>
      <w:sz w:val="24"/>
      <w:szCs w:val="24"/>
      <w:u w:val="none"/>
    </w:rPr>
  </w:style>
  <w:style w:type="character" w:customStyle="1" w:styleId="42">
    <w:name w:val="font21"/>
    <w:basedOn w:val="14"/>
    <w:qFormat/>
    <w:uiPriority w:val="0"/>
    <w:rPr>
      <w:rFonts w:hint="default" w:ascii="Times New Roman" w:hAnsi="Times New Roman" w:cs="Times New Roman"/>
      <w:color w:val="000000"/>
      <w:sz w:val="24"/>
      <w:szCs w:val="24"/>
      <w:u w:val="none"/>
    </w:rPr>
  </w:style>
  <w:style w:type="character" w:customStyle="1" w:styleId="43">
    <w:name w:val="font01"/>
    <w:basedOn w:val="14"/>
    <w:qFormat/>
    <w:uiPriority w:val="0"/>
    <w:rPr>
      <w:rFonts w:hint="eastAsia" w:ascii="宋体" w:hAnsi="宋体" w:eastAsia="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customXml" Target="../customXml/item1.xml"/><Relationship Id="rId11" Type="http://schemas.openxmlformats.org/officeDocument/2006/relationships/numbering" Target="numbering.xml"/><Relationship Id="rId10" Type="http://schemas.openxmlformats.org/officeDocument/2006/relationships/chart" Target="charts/chart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Workbook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2019</a:t>
            </a:r>
            <a:r>
              <a:rPr lang="zh-CN" altLang="en-US"/>
              <a:t>年收入（单位</a:t>
            </a:r>
            <a:r>
              <a:rPr lang="en-US" altLang="zh-CN"/>
              <a:t>/</a:t>
            </a:r>
            <a:r>
              <a:rPr lang="zh-CN" altLang="en-US"/>
              <a:t>万元）</a:t>
            </a:r>
            <a:endParaRPr lang="zh-CN" altLang="en-US"/>
          </a:p>
        </c:rich>
      </c:tx>
      <c:layout/>
      <c:overlay val="0"/>
    </c:title>
    <c:autoTitleDeleted val="0"/>
    <c:plotArea>
      <c:layout/>
      <c:pieChart>
        <c:varyColors val="1"/>
        <c:ser>
          <c:idx val="0"/>
          <c:order val="0"/>
          <c:tx>
            <c:strRef>
              <c:f>Sheet1!$B$1</c:f>
              <c:strCache>
                <c:ptCount val="1"/>
                <c:pt idx="0">
                  <c:v>2018年收入（单位/万元）</c:v>
                </c:pt>
              </c:strCache>
            </c:strRef>
          </c:tx>
          <c:explosion val="0"/>
          <c:dPt>
            <c:idx val="0"/>
            <c:bubble3D val="0"/>
          </c:dPt>
          <c:dPt>
            <c:idx val="1"/>
            <c:bubble3D val="0"/>
          </c:dPt>
          <c:dPt>
            <c:idx val="2"/>
            <c:bubble3D val="0"/>
          </c:dPt>
          <c:dPt>
            <c:idx val="3"/>
            <c:bubble3D val="0"/>
          </c:dPt>
          <c:dLbls>
            <c:dLbl>
              <c:idx val="0"/>
              <c:layout>
                <c:manualLayout>
                  <c:x val="0.00831585795365329"/>
                  <c:y val="-0.197591802572667"/>
                </c:manualLayout>
              </c:layout>
              <c:tx>
                <c:rich>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r>
                      <a:rPr lang="en-US" altLang="en-US" sz="1200"/>
                      <a:t>3262.30, 100%</a:t>
                    </a:r>
                    <a:endParaRPr lang="en-US" altLang="en-US" sz="1200"/>
                  </a:p>
                </c:rich>
              </c:tx>
              <c:dLblPos val="bestFit"/>
              <c:showLegendKey val="0"/>
              <c:showVal val="1"/>
              <c:showCatName val="0"/>
              <c:showSerName val="0"/>
              <c:showPercent val="1"/>
              <c:showBubbleSize val="0"/>
              <c:extLst>
                <c:ext xmlns:c15="http://schemas.microsoft.com/office/drawing/2012/chart" uri="{CE6537A1-D6FC-4f65-9D91-7224C49458BB}">
                  <c15:layout/>
                </c:ext>
              </c:extLst>
            </c:dLbl>
            <c:dLbl>
              <c:idx val="1"/>
              <c:delete val="1"/>
            </c:dLbl>
            <c:dLbl>
              <c:idx val="2"/>
              <c:delete val="1"/>
            </c:dLbl>
            <c:dLbl>
              <c:idx val="3"/>
              <c:delete val="1"/>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Sheet1!$A$2:$A$5</c:f>
              <c:strCache>
                <c:ptCount val="4"/>
                <c:pt idx="0">
                  <c:v>财政拨款收入</c:v>
                </c:pt>
                <c:pt idx="1">
                  <c:v>事业收入</c:v>
                </c:pt>
                <c:pt idx="2">
                  <c:v>经营收入</c:v>
                </c:pt>
                <c:pt idx="3">
                  <c:v>其他收入</c:v>
                </c:pt>
              </c:strCache>
            </c:strRef>
          </c:cat>
          <c:val>
            <c:numRef>
              <c:f>Sheet1!$B$2:$B$5</c:f>
              <c:numCache>
                <c:formatCode>General</c:formatCode>
                <c:ptCount val="4"/>
                <c:pt idx="0">
                  <c:v>3262.3</c:v>
                </c:pt>
                <c:pt idx="1">
                  <c:v>0</c:v>
                </c:pt>
                <c:pt idx="2">
                  <c:v>0</c:v>
                </c:pt>
                <c:pt idx="3">
                  <c:v>0</c:v>
                </c:pt>
              </c:numCache>
            </c:numRef>
          </c:val>
        </c:ser>
        <c:dLbls>
          <c:showLegendKey val="0"/>
          <c:showVal val="1"/>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en-US" altLang="zh-CN"/>
              <a:t>2019</a:t>
            </a:r>
            <a:r>
              <a:rPr lang="zh-CN" altLang="en-US"/>
              <a:t>年支出（单位</a:t>
            </a:r>
            <a:r>
              <a:rPr lang="en-US" altLang="zh-CN"/>
              <a:t>/</a:t>
            </a:r>
            <a:r>
              <a:rPr lang="zh-CN" altLang="en-US"/>
              <a:t>万元）</a:t>
            </a:r>
            <a:endParaRPr lang="zh-CN" altLang="en-US"/>
          </a:p>
        </c:rich>
      </c:tx>
      <c:layout/>
      <c:overlay val="0"/>
    </c:title>
    <c:autoTitleDeleted val="0"/>
    <c:plotArea>
      <c:layout/>
      <c:pieChart>
        <c:varyColors val="1"/>
        <c:ser>
          <c:idx val="0"/>
          <c:order val="0"/>
          <c:tx>
            <c:strRef>
              <c:f>Sheet1!$B$1</c:f>
              <c:strCache>
                <c:ptCount val="1"/>
                <c:pt idx="0">
                  <c:v>2018年支出（单位/万元）</c:v>
                </c:pt>
              </c:strCache>
            </c:strRef>
          </c:tx>
          <c:explosion val="0"/>
          <c:dPt>
            <c:idx val="0"/>
            <c:bubble3D val="0"/>
          </c:dPt>
          <c:dPt>
            <c:idx val="1"/>
            <c:bubble3D val="0"/>
          </c:dPt>
          <c:dPt>
            <c:idx val="2"/>
            <c:bubble3D val="0"/>
          </c:dPt>
          <c:dLbls>
            <c:dLbl>
              <c:idx val="0"/>
              <c:layout>
                <c:manualLayout>
                  <c:x val="0.0755510866897034"/>
                  <c:y val="0.0361821294077371"/>
                </c:manualLayout>
              </c:layout>
              <c:tx>
                <c:rich>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r>
                      <a:rPr lang="en-US" altLang="en-US" sz="1200"/>
                      <a:t>574.82, 17%</a:t>
                    </a:r>
                    <a:endParaRPr lang="en-US" altLang="en-US" sz="1200"/>
                  </a:p>
                </c:rich>
              </c:tx>
              <c:numFmt formatCode="General" sourceLinked="1"/>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827571328763761"/>
                  <c:y val="-0.0629641294838145"/>
                </c:manualLayout>
              </c:layout>
              <c:numFmt formatCode="General" sourceLinked="1"/>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numFmt formatCode="General" sourceLinked="1"/>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p>
              </c:txPr>
              <c:dLblPos val="bestFit"/>
              <c:showLegendKey val="0"/>
              <c:showVal val="1"/>
              <c:showCatName val="0"/>
              <c:showSerName val="1"/>
              <c:showPercent val="1"/>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14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Sheet1!$A$2:$A$4</c:f>
              <c:strCache>
                <c:ptCount val="3"/>
                <c:pt idx="0">
                  <c:v>基本支出</c:v>
                </c:pt>
                <c:pt idx="1">
                  <c:v>项目支出</c:v>
                </c:pt>
                <c:pt idx="2">
                  <c:v>经营支出</c:v>
                </c:pt>
              </c:strCache>
            </c:strRef>
          </c:cat>
          <c:val>
            <c:numRef>
              <c:f>Sheet1!$B$2:$B$4</c:f>
              <c:numCache>
                <c:formatCode>General</c:formatCode>
                <c:ptCount val="3"/>
                <c:pt idx="0">
                  <c:v>574.819999999999</c:v>
                </c:pt>
                <c:pt idx="1">
                  <c:v>2772.56</c:v>
                </c:pt>
                <c:pt idx="2">
                  <c:v>0</c:v>
                </c:pt>
              </c:numCache>
            </c:numRef>
          </c:val>
        </c:ser>
        <c:dLbls>
          <c:showLegendKey val="0"/>
          <c:showVal val="1"/>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2019年</c:v>
                </c:pt>
              </c:strCache>
            </c:strRef>
          </c:tx>
          <c:invertIfNegative val="0"/>
          <c:dLbls>
            <c:dLbl>
              <c:idx val="0"/>
              <c:layout>
                <c:manualLayout>
                  <c:x val="-1.82268883056286e-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31481481481481"/>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c:v>
                </c:pt>
                <c:pt idx="1">
                  <c:v>支出</c:v>
                </c:pt>
              </c:strCache>
            </c:strRef>
          </c:cat>
          <c:val>
            <c:numRef>
              <c:f>Sheet1!$B$2:$B$3</c:f>
              <c:numCache>
                <c:formatCode>General</c:formatCode>
                <c:ptCount val="2"/>
                <c:pt idx="0">
                  <c:v>3262.3</c:v>
                </c:pt>
                <c:pt idx="1">
                  <c:v>3347.39</c:v>
                </c:pt>
              </c:numCache>
            </c:numRef>
          </c:val>
        </c:ser>
        <c:ser>
          <c:idx val="1"/>
          <c:order val="1"/>
          <c:tx>
            <c:strRef>
              <c:f>Sheet1!$C$1</c:f>
              <c:strCache>
                <c:ptCount val="1"/>
                <c:pt idx="0">
                  <c:v>2018年</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c:v>
                </c:pt>
                <c:pt idx="1">
                  <c:v>支出</c:v>
                </c:pt>
              </c:strCache>
            </c:strRef>
          </c:cat>
          <c:val>
            <c:numRef>
              <c:f>Sheet1!$C$2:$C$3</c:f>
              <c:numCache>
                <c:formatCode>General</c:formatCode>
                <c:ptCount val="2"/>
                <c:pt idx="0">
                  <c:v>4306.09</c:v>
                </c:pt>
                <c:pt idx="1">
                  <c:v>4234.86</c:v>
                </c:pt>
              </c:numCache>
            </c:numRef>
          </c:val>
        </c:ser>
        <c:dLbls>
          <c:showLegendKey val="0"/>
          <c:showVal val="1"/>
          <c:showCatName val="0"/>
          <c:showSerName val="0"/>
          <c:showPercent val="0"/>
          <c:showBubbleSize val="0"/>
        </c:dLbls>
        <c:gapWidth val="150"/>
        <c:axId val="291048448"/>
        <c:axId val="291079296"/>
      </c:barChart>
      <c:catAx>
        <c:axId val="291048448"/>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079296"/>
        <c:crosses val="autoZero"/>
        <c:auto val="1"/>
        <c:lblAlgn val="ctr"/>
        <c:lblOffset val="100"/>
        <c:noMultiLvlLbl val="0"/>
      </c:catAx>
      <c:valAx>
        <c:axId val="291079296"/>
        <c:scaling>
          <c:orientation val="minMax"/>
        </c:scaling>
        <c:delete val="0"/>
        <c:axPos val="l"/>
        <c:numFmt formatCode="General"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048448"/>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预算</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c:v>
                </c:pt>
                <c:pt idx="1">
                  <c:v>支出</c:v>
                </c:pt>
              </c:strCache>
            </c:strRef>
          </c:cat>
          <c:val>
            <c:numRef>
              <c:f>Sheet1!$B$2:$B$3</c:f>
              <c:numCache>
                <c:formatCode>0.00_ </c:formatCode>
                <c:ptCount val="2"/>
                <c:pt idx="0">
                  <c:v>3956.1</c:v>
                </c:pt>
                <c:pt idx="1">
                  <c:v>3956.1</c:v>
                </c:pt>
              </c:numCache>
            </c:numRef>
          </c:val>
        </c:ser>
        <c:ser>
          <c:idx val="1"/>
          <c:order val="1"/>
          <c:tx>
            <c:strRef>
              <c:f>Sheet1!$C$1</c:f>
              <c:strCache>
                <c:ptCount val="1"/>
                <c:pt idx="0">
                  <c:v>决算</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Sheet1!$A$2:$A$3</c:f>
              <c:strCache>
                <c:ptCount val="2"/>
                <c:pt idx="0">
                  <c:v>收入</c:v>
                </c:pt>
                <c:pt idx="1">
                  <c:v>支出</c:v>
                </c:pt>
              </c:strCache>
            </c:strRef>
          </c:cat>
          <c:val>
            <c:numRef>
              <c:f>Sheet1!$C$2:$C$3</c:f>
              <c:numCache>
                <c:formatCode>0.00_ </c:formatCode>
                <c:ptCount val="2"/>
                <c:pt idx="0">
                  <c:v>3262.3</c:v>
                </c:pt>
                <c:pt idx="1" c:formatCode="General">
                  <c:v>3347.39</c:v>
                </c:pt>
              </c:numCache>
            </c:numRef>
          </c:val>
        </c:ser>
        <c:dLbls>
          <c:showLegendKey val="0"/>
          <c:showVal val="1"/>
          <c:showCatName val="0"/>
          <c:showSerName val="0"/>
          <c:showPercent val="0"/>
          <c:showBubbleSize val="0"/>
        </c:dLbls>
        <c:gapWidth val="150"/>
        <c:axId val="291331072"/>
        <c:axId val="291350784"/>
      </c:barChart>
      <c:catAx>
        <c:axId val="291331072"/>
        <c:scaling>
          <c:orientation val="minMax"/>
        </c:scaling>
        <c:delete val="0"/>
        <c:axPos val="b"/>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350784"/>
        <c:crosses val="autoZero"/>
        <c:auto val="1"/>
        <c:lblAlgn val="ctr"/>
        <c:lblOffset val="100"/>
        <c:noMultiLvlLbl val="0"/>
      </c:catAx>
      <c:valAx>
        <c:axId val="291350784"/>
        <c:scaling>
          <c:orientation val="minMax"/>
        </c:scaling>
        <c:delete val="0"/>
        <c:axPos val="l"/>
        <c:numFmt formatCode="0.00_ " sourceLinked="1"/>
        <c:majorTickMark val="out"/>
        <c:min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291331072"/>
        <c:crosses val="autoZero"/>
        <c:crossBetween val="between"/>
      </c:valAx>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xPr>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p>
      </c:txPr>
    </c:title>
    <c:autoTitleDeleted val="0"/>
    <c:plotArea>
      <c:layout/>
      <c:pieChart>
        <c:varyColors val="1"/>
        <c:ser>
          <c:idx val="0"/>
          <c:order val="0"/>
          <c:tx>
            <c:strRef>
              <c:f>Sheet1!$B$1</c:f>
              <c:strCache>
                <c:ptCount val="1"/>
                <c:pt idx="0">
                  <c:v>财政拨款支出（单位/万元）</c:v>
                </c:pt>
              </c:strCache>
            </c:strRef>
          </c:tx>
          <c:explosion val="0"/>
          <c:dPt>
            <c:idx val="0"/>
            <c:bubble3D val="0"/>
          </c:dPt>
          <c:dPt>
            <c:idx val="1"/>
            <c:bubble3D val="0"/>
          </c:dPt>
          <c:dPt>
            <c:idx val="2"/>
            <c:bubble3D val="0"/>
            <c:explosion val="1"/>
          </c:dPt>
          <c:dPt>
            <c:idx val="3"/>
            <c:bubble3D val="0"/>
          </c:dPt>
          <c:dPt>
            <c:idx val="4"/>
            <c:bubble3D val="0"/>
          </c:dPt>
          <c:dPt>
            <c:idx val="5"/>
            <c:bubble3D val="0"/>
          </c:dPt>
          <c:dPt>
            <c:idx val="6"/>
            <c:bubble3D val="0"/>
          </c:dPt>
          <c:dLbls>
            <c:dLbl>
              <c:idx val="0"/>
              <c:layout>
                <c:manualLayout>
                  <c:x val="0.0609479804607757"/>
                  <c:y val="0.079791276090489"/>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1"/>
              <c:layout>
                <c:manualLayout>
                  <c:x val="0.0362510716311215"/>
                  <c:y val="0.0837460942382202"/>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2"/>
              <c:layout>
                <c:manualLayout>
                  <c:x val="-0.0143972706929222"/>
                  <c:y val="-0.015884576927884"/>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3"/>
              <c:layout>
                <c:manualLayout>
                  <c:x val="-0.124041539078449"/>
                  <c:y val="-0.0221291088613923"/>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dLbl>
              <c:idx val="4"/>
              <c:layout>
                <c:manualLayout>
                  <c:x val="0.130095691163605"/>
                  <c:y val="0.00986751656043003"/>
                </c:manualLayout>
              </c:layout>
              <c:dLblPos val="bestFit"/>
              <c:showLegendKey val="0"/>
              <c:showVal val="1"/>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200" b="0" i="0" u="none" strike="noStrike" kern="1200" baseline="0">
                    <a:solidFill>
                      <a:schemeClr val="tx1"/>
                    </a:solidFill>
                    <a:latin typeface="+mn-lt"/>
                    <a:ea typeface="+mn-ea"/>
                    <a:cs typeface="+mn-cs"/>
                  </a:defRPr>
                </a:pPr>
              </a:p>
            </c:txPr>
            <c:dLblPos val="bestFit"/>
            <c:showLegendKey val="0"/>
            <c:showVal val="1"/>
            <c:showCatName val="0"/>
            <c:showSerName val="0"/>
            <c:showPercent val="1"/>
            <c:showBubbleSize val="0"/>
            <c:showLeaderLines val="1"/>
            <c:extLst>
              <c:ext xmlns:c15="http://schemas.microsoft.com/office/drawing/2012/chart" uri="{CE6537A1-D6FC-4f65-9D91-7224C49458BB}">
                <c15:layout/>
                <c15:showLeaderLines val="1"/>
                <c15:leaderLines/>
              </c:ext>
            </c:extLst>
          </c:dLbls>
          <c:cat>
            <c:strRef>
              <c:f>Sheet1!$A$2:$A$8</c:f>
              <c:strCache>
                <c:ptCount val="7"/>
                <c:pt idx="0">
                  <c:v>一般公共服务支出</c:v>
                </c:pt>
                <c:pt idx="1">
                  <c:v>文化体育与传媒支出</c:v>
                </c:pt>
                <c:pt idx="2">
                  <c:v>社会保障和就业支出</c:v>
                </c:pt>
                <c:pt idx="3">
                  <c:v>医疗卫生与计划生育支出</c:v>
                </c:pt>
                <c:pt idx="4">
                  <c:v>城乡社区</c:v>
                </c:pt>
                <c:pt idx="5">
                  <c:v>住房保障支出</c:v>
                </c:pt>
                <c:pt idx="6">
                  <c:v>其他支出</c:v>
                </c:pt>
              </c:strCache>
            </c:strRef>
          </c:cat>
          <c:val>
            <c:numRef>
              <c:f>Sheet1!$B$2:$B$8</c:f>
              <c:numCache>
                <c:formatCode>General</c:formatCode>
                <c:ptCount val="7"/>
                <c:pt idx="0">
                  <c:v>887.14</c:v>
                </c:pt>
                <c:pt idx="1">
                  <c:v>3</c:v>
                </c:pt>
                <c:pt idx="2">
                  <c:v>72.94</c:v>
                </c:pt>
                <c:pt idx="3">
                  <c:v>14.81</c:v>
                </c:pt>
                <c:pt idx="4">
                  <c:v>2340.95</c:v>
                </c:pt>
                <c:pt idx="5">
                  <c:v>24.55</c:v>
                </c:pt>
                <c:pt idx="6">
                  <c:v>4</c:v>
                </c:pt>
              </c:numCache>
            </c:numRef>
          </c:val>
        </c:ser>
        <c:dLbls>
          <c:showLegendKey val="0"/>
          <c:showVal val="1"/>
          <c:showCatName val="0"/>
          <c:showSerName val="0"/>
          <c:showPercent val="1"/>
          <c:showBubbleSize val="0"/>
          <c:showLeaderLines val="1"/>
        </c:dLbls>
        <c:firstSliceAng val="0"/>
      </c:pieChart>
    </c:plotArea>
    <c:legend>
      <c:legendPos val="r"/>
      <c:layout/>
      <c:overlay val="0"/>
      <c:txPr>
        <a:bodyPr rot="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legend>
    <c:plotVisOnly val="1"/>
    <c:dispBlanksAs val="gap"/>
    <c:showDLblsOverMax val="0"/>
  </c:chart>
  <c:spPr>
    <a:ln w="12700" cap="flat" cmpd="sng" algn="ctr">
      <a:noFill/>
      <a:prstDash val="solid"/>
      <a:round/>
    </a:ln>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9A524569-8E5B-4945-BEA0-84FD38B03FF6}">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88</Pages>
  <Words>5394</Words>
  <Characters>30746</Characters>
  <Lines>256</Lines>
  <Paragraphs>72</Paragraphs>
  <TotalTime>3064</TotalTime>
  <ScaleCrop>false</ScaleCrop>
  <LinksUpToDate>false</LinksUpToDate>
  <CharactersWithSpaces>36068</CharactersWithSpaces>
  <Application>WPS Office_11.8.2.12055_F1E327BC-269C-435d-A152-05C5408002CA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2019-09-26T01:09:00Z</dcterms:created>
  <dc:creator>User</dc:creator>
  <cp:lastModifiedBy>lenovo</cp:lastModifiedBy>
  <cp:lastPrinted>2020-11-27T11:35:00Z</cp:lastPrinted>
  <dcterms:modified xsi:type="dcterms:W3CDTF">2023-11-17T05:47:21Z</dcterms:modified>
  <dc:subject>石家庄市xxx部门</dc:subject>
  <dc:title>2017年度部门决算</dc:title>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2052-11.8.2.12055</vt:lpwstr>
  </property>
  <property fmtid="{D5CDD505-2E9C-101B-9397-08002B2CF9AE}" pid="3" name="ICV">
    <vt:lpwstr>1005514DBBF74E6DBD2B17486FA2684F</vt:lpwstr>
  </property>
</Properties>
</file>